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drawings/drawing3.xml" ContentType="application/vnd.openxmlformats-officedocument.drawingml.chartshap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charts/chart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5 ОСНОВЫ ЭНЕРГОАУДИТА ОБЪЕКТОВ ТЕПЛОЭНЕРГЕТИКИ</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Энергетический аудит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это техническо-экономическое инспектирование систем энергогенерирования и энергопотребления предприятия с целью определить возможности экономии затрат на потребляемые топливно-энергетические ресурсы (ТЭР), разработки мероприятий, помогающих предприятию достичь реальной экономии денежных средств и энергоресурсов [2]. Экономия достигается  путем выявления и устранения недопустимых потерь энергии, внедрения более экономичных схем и процессов,  адаптирующихся к меняющимся условиям работы, использования постоянно действующей системы учета расхода и анализа энергопотребления.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Задача энергоаудита: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выявить источники нерациональных затрат энергии и неоправданных потерь энергии;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разработать на основе технико-экономического анализа рекомендации по их ликвидации, предложить программу по экономии энергоресурсов и рациональному энергопользованию.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Обязательному обследованию один раз в пять лет  подлежат предприятия с суммарным энергопотреблением более 6000 т у.т. и финансируемые или имеющие дотации на энергоресурсы  из Госбюджета. По данным МЭИ и ВТИ на выработку одного кВт</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ч электрической энергии в среднем по РФ затрачивается 351 т у.т.</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Право на проведение энергетических обследований  потребителей ТЭР предоставляется: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региональным (территориальным) органам Главгосэнергонадзора России.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организациям, имеющим лицензию на проведение энергетических обследований предприятий.</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Энергоаудитор в своих действиях должен руководствоваться Законами Российской Федерации, актами органов государственной власти субъектов РФ, правилами  пользования тепловой электрической, тепловой энергии, газа, правилами учета электрической, тепловой энергии, газа, временными руководящими указаниями по организации работ в сфере энергосбережения в </w:t>
      </w:r>
      <w:r w:rsidRPr="00126FD8">
        <w:rPr>
          <w:rFonts w:ascii="Times New Roman" w:hAnsi="Times New Roman" w:cs="Times New Roman"/>
          <w:sz w:val="28"/>
          <w:szCs w:val="28"/>
        </w:rPr>
        <w:lastRenderedPageBreak/>
        <w:t>управлениях государственного энергетического надзора в субъектах Российской Федерации, ПТЭ и ПТБ в электроустановках.</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Энергоаудитор должен отвечать следующим требованиям: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обладать правами юридического лица;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иметь необходимое инструментальное, приборное и методологическое оснащение;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располагать квалифицированным и аттестованным персоналом;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иметь опыт работы в соответствующей области деятельности;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иметь аккредитацию в региональном органе Главгосэнергонадзора России.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Согласно правилам  различается пять видов  проведения энергетических обследований (энергоаудитов):</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предпусковой и предэксплуатационный (проводится энергоаудит заложенных в проект энергосберегающих технических решений, соответствие их современным требованиям ГОСТов и СНиПов);</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первичный (проводится экспресс-анализ резервов энергосбережения с целью оценить необходимость проведения глубокого энергетического обследования,  определения планируемого объема затрат и стоимости энергоаудита, подготовки договора на проведение энергетического обследования);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полный (повторный) энергоаудит (проведение глубокого энергетического обследования предприятия с целью определить эффективность использования  потребляемых энергоресурсов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электроэнергии, теплоты, газа, воды;</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внеочередной энергоаудит (в случае, когда  по ряду косвенных признаков возникли предположения о резком снижении  эффективности использования ТЭР);</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локальные (проводится обследование эффективности использования отдельных видов ТЭР либо режимов наиболее энергопотребляющих установок, агрегатов).</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Организация и проведение работ по энергоаудиту  обследуемой организации обычно проводится в четыре этапа.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Этап 1</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Предварительный контакт с руководителем.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Ознакомление с основными потребителями, производственными процессами и линиями, общим построением системы энергоснабжения. Проводится начальное ознакомление с  системой генерирования, распределения и энергопотребления на предприятии, выявляются места нерационального энергопотребления, оценивается потенциал энергосбережения, намечается состав бригады энергоаудита и оценивается объем предполагаемой работы.</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По отработанному перечню вопросов собирается информация по энергопотреблению за прошедшие периоды времени. По материалам первичного энергоаудита возможна корректировка планируемых объемов работ и заключаемого  договора на проведение работ.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Этап 2 (первичный, экспресс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энергоаудит)</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Общее энергопотребление организацией  различных  энергоносителей (как правило, отражаемое  в финансовой отчетности предприятия, в разделе оплаты за энергоносители)  разбивается по отдельным зданиям, группам технологических процессов, отдельным основным процессам и установкам, видам продукции (как составляющие в себестоимости). Этот этап работы называется созданием карты энергопотребления. При этом используются стационарные средства учета предприятия, проводятся дополнительные измерения в узловых точках предприятия с помощью переносных приборов, используются расчетные методы.</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Опытный энергоаудитор, которым, как правило, является специалист - энергоснабженец, может быстро выявить места возможной экономии энергии: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по завышенным температурам уходящих газов и разогретых поверхностей, свидетельствующих о наличии  плохой теплоизоляции;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низкому значению cos </w:t>
      </w:r>
      <w:r w:rsidRPr="00126FD8">
        <w:rPr>
          <w:rFonts w:ascii="Times New Roman" w:hAnsi="Times New Roman" w:cs="Times New Roman"/>
          <w:sz w:val="28"/>
          <w:szCs w:val="28"/>
        </w:rPr>
        <w:sym w:font="Symbol" w:char="F06A"/>
      </w:r>
      <w:r w:rsidRPr="00126FD8">
        <w:rPr>
          <w:rFonts w:ascii="Times New Roman" w:hAnsi="Times New Roman" w:cs="Times New Roman"/>
          <w:sz w:val="28"/>
          <w:szCs w:val="28"/>
        </w:rPr>
        <w:t xml:space="preserve"> асинхронного электропривода, свидетельствующему о его недогрузке и неэкономичном режиме работы системы;</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эффективности работы схемы химводоподготовки питательной воды, ее дегазации;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невозврату конденсата и отсутствию конденсатоотводчиков;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sym w:font="Symbol" w:char="F0B7"/>
      </w:r>
      <w:r w:rsidRPr="00126FD8">
        <w:rPr>
          <w:rFonts w:ascii="Times New Roman" w:hAnsi="Times New Roman" w:cs="Times New Roman"/>
          <w:sz w:val="28"/>
          <w:szCs w:val="28"/>
        </w:rPr>
        <w:t xml:space="preserve"> нереализованной возможной рекуперации энергии;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соответствию реальных режимов эксплуатации насосного, компрессорного, вентиляционного оборудования и другого оборудования оптимальным режимам их эксплуатации и т.п.</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Все выявленные возможности экономии энергии должны быть внесены в перечень рекомендаций с указанием приоритета на реализацию, определяемый технико-экономическим расчетом.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В объем работ полного энергоаудита входит также  оценка удельных энергозатрат на единицу выпускаемой продукции, используемая при сравнении с показателями аналогичных передовых предприятий, и составление топливно-энергетического баланса.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Для организаций с суммарным  энергопотреблением более 6 тыс. т у. т. в год составляется энергетический паспорт (согласно Положению Минтопэнерго от 1998 г. о проведении энергетических обследовании организаций ). Отчет по энергоаудиту содержит балансы для потребляемых ТЭР и предложения по энергосбережению.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Составление энергетического паспорта практически не дает новой информации, но на его составление расходуется около 35 % трудозатрат на выполнение энергоаудита. Энергетический паспорт целесообразно оформлять для предприятий, дотируемых из госбюджета.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Результаты энергоаудита согласовываются с органами энергонадзора в тех случаях, когда этого требует законодательство. Введение стимулирующих налоговых и других льгот для предприятий, занимающихся энергосбережением, позволит заинтересовать их в проведении энергоаудитов, при этом вопросы будут решаться в других условиях.</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Для государственных и коммунальных организаций, энергоснабжение которых финансируется из госдотаций, задача составления энергетического паспорта связана с выявлением резервов для экономии общественных средств и лимитирования энергопотребления и выделяемых финансовых средств. Для этих случаев составление энергетического паспорта оправдано и целесообразно.</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Этап 3 (полный энергоаудит)</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Оценка экономии энергии и экономических преимуществ от внедрения различных предлагаемых мероприятий.</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Выбор конкретной программы по энергосбережению с выделением первоочередных, наиболее эффективных и быстроокупаемых мероприятий.</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Составление энергетического паспорта  (обязательно для организаций, финансируемых из госбюджета).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Составление и представление руководству предприятия отчета (и энергетического паспорта) по результатам проведения энергетического аудита. Согласование их с органами Госэнергонадзора, если в этом есть необходимость.</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Принятие руководством организации решения о реализации программы энергосбережения, составленной по результатам полного энергоаудита.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Этап 4 (Мониторинг)</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Организация на предприятии системы энергетического менеджмента, системы  постоянно действующего учета и анализа эффективности расхода энергоресурсов.</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Продолжение деятельности, дополнительное  обследование, дополнение программы реализации мер по энергосбережению, изучение достигнутых результатов.</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Энергетический аудитор должен отвечать следующим требованиям: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Обязательно иметь лицензию и аккредитацию в органах Госэнергонадзора, что подтвеждает квалификационное соответствие на проведение такого характера работ.</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Иметь хорошую теоретическую подготовку по электро- и теплоснабжению (на уровне инженера), практический опыт работы в области энергоснабжения и энергосбережения.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Необходимо отметить, что теплотехнические задачи в общем объеме работ составляют 75 %, электротехнические – 25 %. Очень часто возможность экономии электрической энергии выявляется при анализе условий эксплуатации теплотехнического (насосы, компрессоры, вентиляторы и др.) оборудования. Это отражается при комплектации команды энергоаудиторов.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Энергетический аудитор должен быть специалистом широкого профиля, в том числе иметь навыки финансового аудита в части, касающейся топливно-энергетических ресурсов (или иметь в своей бригаде такого специалиста).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sym w:font="Symbol" w:char="F0B7"/>
      </w:r>
      <w:r w:rsidRPr="00126FD8">
        <w:rPr>
          <w:rFonts w:ascii="Times New Roman" w:hAnsi="Times New Roman" w:cs="Times New Roman"/>
          <w:sz w:val="28"/>
          <w:szCs w:val="28"/>
        </w:rPr>
        <w:t xml:space="preserve"> Энергоаудитор должен обладать способностью работать в качестве руководителя проекта.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Снижение потерь теплоты с уходящими газами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tab/>
        <w:t xml:space="preserve">Основными потерями в котельных установках являются потери с теплотой отходящих газов [17]. Потери теплоты с уходящими газами (q2) в котлах без хвостовых поверхностей, работающих с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sym w:font="Symbol" w:char="F0B9"/>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опт, могут достигать 25 %. Мероприятия, способствующие уменьшению потерь q2, следующие.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1. Установка водяного питательного поверхностного экономайзера (экономайзера и воздухоподогревателя) – экономия газа 4-7 %, теплофикационного – 6-9 %, контактного – 10-15 % в зависимости от температуры уходящих газов. Запишем выражение для потерь теплоты с уходящими газами в упрощенном виде (без учета теплоты вносимой холодным воздухом)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4760" w:dyaOrig="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7.8pt;height:41.15pt" o:ole="">
            <v:imagedata r:id="rId5" o:title=""/>
          </v:shape>
          <o:OLEObject Type="Embed" ProgID="Equation.3" ShapeID="_x0000_i1025" DrawAspect="Content" ObjectID="_1672939662" r:id="rId6"/>
        </w:objec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и рассчитаем изменение потерь при увеличении (уменьшении) температуры уходящих газов на ∆tух</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420" w:dyaOrig="820">
          <v:shape id="_x0000_i1026" type="#_x0000_t75" style="width:171.25pt;height:41.15pt" o:ole="">
            <v:imagedata r:id="rId7" o:title=""/>
          </v:shape>
          <o:OLEObject Type="Embed" ProgID="Equation.3" ShapeID="_x0000_i1026" DrawAspect="Content" ObjectID="_1672939663" r:id="rId8"/>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Для природного газа V0 ≈ 9,7 м3/м3; </w:t>
      </w:r>
      <w:r w:rsidRPr="00126FD8">
        <w:rPr>
          <w:rFonts w:ascii="Times New Roman" w:hAnsi="Times New Roman" w:cs="Times New Roman"/>
          <w:sz w:val="28"/>
          <w:szCs w:val="28"/>
        </w:rPr>
        <w:object w:dxaOrig="1100" w:dyaOrig="400">
          <v:shape id="_x0000_i1027" type="#_x0000_t75" style="width:55.05pt;height:19.95pt" o:ole="">
            <v:imagedata r:id="rId9" o:title=""/>
          </v:shape>
          <o:OLEObject Type="Embed" ProgID="Equation.3" ShapeID="_x0000_i1027" DrawAspect="Content" ObjectID="_1672939664" r:id="rId10"/>
        </w:object>
      </w:r>
      <w:r w:rsidRPr="00126FD8">
        <w:rPr>
          <w:rFonts w:ascii="Times New Roman" w:hAnsi="Times New Roman" w:cs="Times New Roman"/>
          <w:sz w:val="28"/>
          <w:szCs w:val="28"/>
        </w:rPr>
        <w:t xml:space="preserve"> м3/м3; </w:t>
      </w:r>
      <w:r w:rsidRPr="00126FD8">
        <w:rPr>
          <w:rFonts w:ascii="Times New Roman" w:hAnsi="Times New Roman" w:cs="Times New Roman"/>
          <w:sz w:val="28"/>
          <w:szCs w:val="28"/>
        </w:rPr>
        <w:object w:dxaOrig="1140" w:dyaOrig="400">
          <v:shape id="_x0000_i1028" type="#_x0000_t75" style="width:56.85pt;height:19.95pt" o:ole="">
            <v:imagedata r:id="rId11" o:title=""/>
          </v:shape>
          <o:OLEObject Type="Embed" ProgID="Equation.3" ShapeID="_x0000_i1028" DrawAspect="Content" ObjectID="_1672939665" r:id="rId12"/>
        </w:object>
      </w:r>
      <w:r w:rsidRPr="00126FD8">
        <w:rPr>
          <w:rFonts w:ascii="Times New Roman" w:hAnsi="Times New Roman" w:cs="Times New Roman"/>
          <w:sz w:val="28"/>
          <w:szCs w:val="28"/>
        </w:rPr>
        <w:t xml:space="preserve"> МДж/м3. При средней теплоемкости продуктов сгорания сг = 1,5 кДж/м3 и коэффициенте избытка воздуха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 xml:space="preserve"> = 1,2 отношение </w:t>
      </w:r>
      <w:r w:rsidRPr="00126FD8">
        <w:rPr>
          <w:rFonts w:ascii="Times New Roman" w:hAnsi="Times New Roman" w:cs="Times New Roman"/>
          <w:sz w:val="28"/>
          <w:szCs w:val="28"/>
        </w:rPr>
        <w:object w:dxaOrig="1860" w:dyaOrig="420">
          <v:shape id="_x0000_i1029" type="#_x0000_t75" style="width:93.2pt;height:21.2pt" o:ole="">
            <v:imagedata r:id="rId13" o:title=""/>
          </v:shape>
          <o:OLEObject Type="Embed" ProgID="Equation.3" ShapeID="_x0000_i1029" DrawAspect="Content" ObjectID="_1672939666" r:id="rId14"/>
        </w:object>
      </w:r>
      <w:r w:rsidRPr="00126FD8">
        <w:rPr>
          <w:rFonts w:ascii="Times New Roman" w:hAnsi="Times New Roman" w:cs="Times New Roman"/>
          <w:sz w:val="28"/>
          <w:szCs w:val="28"/>
        </w:rPr>
        <w:t>. Таким образом увеличение (уменьшение) температуры уходящих газов на 20 ºС приводит к изменению КПД на 1 %. При больших избытках воздуха влияние изменения температуры уходящих газов более существенно.</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2. Работа котлоагрегата с оптимальным коэффициентом избытка воздуха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 =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опт. Увеличение коэффициента избытка воздуха в топке выше оптимального приводит к снижению температуры в топке и уменьшению температурного напора, кроме того, увеличивается расход электроэнергии на привод вентилятора и дымососа. Из выражения следует, что при изменении коэффициента избытка воздуха на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 xml:space="preserve"> потери теплоты с уходящими газами меняются на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ab/>
      </w:r>
      <w:r w:rsidRPr="00126FD8">
        <w:rPr>
          <w:rFonts w:ascii="Times New Roman" w:hAnsi="Times New Roman" w:cs="Times New Roman"/>
          <w:sz w:val="28"/>
          <w:szCs w:val="28"/>
        </w:rPr>
        <w:object w:dxaOrig="2240" w:dyaOrig="820">
          <v:shape id="_x0000_i1030" type="#_x0000_t75" style="width:111.95pt;height:41.15pt" o:ole="">
            <v:imagedata r:id="rId15" o:title=""/>
          </v:shape>
          <o:OLEObject Type="Embed" ProgID="Equation.3" ShapeID="_x0000_i1030" DrawAspect="Content" ObjectID="_1672939667" r:id="rId16"/>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При температуре уходящих газов в диапазоне 120-170 ºС увеличение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 xml:space="preserve"> на 0,1 приводит к увеличению q2 на 0,5-0,7 %.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3. Увеличение плотности газоходов приводит к уменьшению присосов воздуха по тракту котла. Увеличение присосов воздуха по газовому тракту котел – дымосос на 10 % приводит к перерасходу газа на 0,5 %, повышению расхода электроэнергии на привод дымососа на 4-5 %.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Рассмотрим эффективность установки воздухоподогревателей. Котлы марки КВГМ, как правило, не укомплектованы воздухоподогревателями, что обусловливает в некоторых случаях повышенное значение температуры уходящих газов. Расчетное значение температуры уходящих газов у котла КВГМ-180 составляет 175 °С. Простой срок окупаемости проекта при установке за котлом воздухоподогревателя рассчитывается следующим образом. При известных значениях расхода топлива В1, температуры уходящих газов tух, коэффициенте избытка воздуха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 xml:space="preserve">ух и КПД котлоагрегата </w:t>
      </w:r>
      <w:r w:rsidRPr="00126FD8">
        <w:rPr>
          <w:rFonts w:ascii="Times New Roman" w:hAnsi="Times New Roman" w:cs="Times New Roman"/>
          <w:sz w:val="28"/>
          <w:szCs w:val="28"/>
        </w:rPr>
        <w:sym w:font="Symbol" w:char="F068"/>
      </w:r>
      <w:r w:rsidRPr="00126FD8">
        <w:rPr>
          <w:rFonts w:ascii="Times New Roman" w:hAnsi="Times New Roman" w:cs="Times New Roman"/>
          <w:sz w:val="28"/>
          <w:szCs w:val="28"/>
        </w:rPr>
        <w:t xml:space="preserve"> рассчитывают значения потерь теплоты с уходящими газами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360" w:dyaOrig="800">
          <v:shape id="_x0000_i1031" type="#_x0000_t75" style="width:118pt;height:39.95pt" o:ole="">
            <v:imagedata r:id="rId17" o:title=""/>
          </v:shape>
          <o:OLEObject Type="Embed" ProgID="Equation.3" ShapeID="_x0000_i1031" DrawAspect="Content" ObjectID="_1672939668" r:id="rId18"/>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При установке воздухоподогревателя за котлом температура газов снизится до значения </w:t>
      </w:r>
      <w:r w:rsidRPr="00126FD8">
        <w:rPr>
          <w:rFonts w:ascii="Times New Roman" w:hAnsi="Times New Roman" w:cs="Times New Roman"/>
          <w:sz w:val="28"/>
          <w:szCs w:val="28"/>
        </w:rPr>
        <w:object w:dxaOrig="300" w:dyaOrig="420">
          <v:shape id="_x0000_i1032" type="#_x0000_t75" style="width:15.15pt;height:21.2pt" o:ole="">
            <v:imagedata r:id="rId19" o:title=""/>
          </v:shape>
          <o:OLEObject Type="Embed" ProgID="Equation.3" ShapeID="_x0000_i1032" DrawAspect="Content" ObjectID="_1672939669" r:id="rId20"/>
        </w:object>
      </w:r>
      <w:r w:rsidRPr="00126FD8">
        <w:rPr>
          <w:rFonts w:ascii="Times New Roman" w:hAnsi="Times New Roman" w:cs="Times New Roman"/>
          <w:sz w:val="28"/>
          <w:szCs w:val="28"/>
        </w:rPr>
        <w:t>. При этом уменьшатся потери теплоты с уходящими газами до значения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360" w:dyaOrig="800">
          <v:shape id="_x0000_i1033" type="#_x0000_t75" style="width:118pt;height:39.95pt" o:ole="">
            <v:imagedata r:id="rId21" o:title=""/>
          </v:shape>
          <o:OLEObject Type="Embed" ProgID="Equation.3" ShapeID="_x0000_i1033" DrawAspect="Content" ObjectID="_1672939670" r:id="rId22"/>
        </w:object>
      </w:r>
      <w:r w:rsidRPr="00126FD8">
        <w:rPr>
          <w:rFonts w:ascii="Times New Roman" w:hAnsi="Times New Roman" w:cs="Times New Roman"/>
          <w:sz w:val="28"/>
          <w:szCs w:val="28"/>
        </w:rPr>
        <w:tab/>
        <w:t xml:space="preserve">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и возрастет КПД котельного агрегата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1980" w:dyaOrig="380">
          <v:shape id="_x0000_i1034" type="#_x0000_t75" style="width:99.25pt;height:18.75pt" o:ole="">
            <v:imagedata r:id="rId23" o:title=""/>
          </v:shape>
          <o:OLEObject Type="Embed" ProgID="Equation.3" ShapeID="_x0000_i1034" DrawAspect="Content" ObjectID="_1672939671" r:id="rId24"/>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Это приводит к снижению расхода топлива: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1180" w:dyaOrig="760">
          <v:shape id="_x0000_i1035" type="#_x0000_t75" style="width:59.3pt;height:38.1pt" o:ole="">
            <v:imagedata r:id="rId25" o:title=""/>
          </v:shape>
          <o:OLEObject Type="Embed" ProgID="Equation.3" ShapeID="_x0000_i1035" DrawAspect="Content" ObjectID="_1672939672" r:id="rId26"/>
        </w:objec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что позволяет рассчитать годовую экономию топлива как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ab/>
      </w:r>
      <w:r w:rsidRPr="00126FD8">
        <w:rPr>
          <w:rFonts w:ascii="Times New Roman" w:hAnsi="Times New Roman" w:cs="Times New Roman"/>
          <w:sz w:val="28"/>
          <w:szCs w:val="28"/>
        </w:rPr>
        <w:object w:dxaOrig="2900" w:dyaOrig="380">
          <v:shape id="_x0000_i1036" type="#_x0000_t75" style="width:145.2pt;height:18.75pt" o:ole="">
            <v:imagedata r:id="rId27" o:title=""/>
          </v:shape>
          <o:OLEObject Type="Embed" ProgID="Equation.3" ShapeID="_x0000_i1036" DrawAspect="Content" ObjectID="_1672939673" r:id="rId28"/>
        </w:object>
      </w:r>
      <w:r w:rsidRPr="00126FD8">
        <w:rPr>
          <w:rFonts w:ascii="Times New Roman" w:hAnsi="Times New Roman" w:cs="Times New Roman"/>
          <w:sz w:val="28"/>
          <w:szCs w:val="28"/>
        </w:rPr>
        <w:t>,</w:t>
      </w:r>
      <w:r w:rsidRPr="00126FD8">
        <w:rPr>
          <w:rFonts w:ascii="Times New Roman" w:hAnsi="Times New Roman" w:cs="Times New Roman"/>
          <w:sz w:val="28"/>
          <w:szCs w:val="28"/>
        </w:rPr>
        <w:tab/>
        <w:t xml:space="preserve">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где h – число часов работы котлоагрегата в течении года; Цт – стоимость природного газа.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Количество теплоты, отданное продуктами сгорания, определятся выражением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560" w:dyaOrig="440">
          <v:shape id="_x0000_i1037" type="#_x0000_t75" style="width:177.9pt;height:21.8pt" o:ole="">
            <v:imagedata r:id="rId29" o:title=""/>
          </v:shape>
          <o:OLEObject Type="Embed" ProgID="Equation.3" ShapeID="_x0000_i1037" DrawAspect="Content" ObjectID="_1672939674" r:id="rId30"/>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Площадь поверхности теплообмена определится из выражения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980" w:dyaOrig="720">
          <v:shape id="_x0000_i1038" type="#_x0000_t75" style="width:49pt;height:36.3pt" o:ole="">
            <v:imagedata r:id="rId31" o:title=""/>
          </v:shape>
          <o:OLEObject Type="Embed" ProgID="Equation.3" ShapeID="_x0000_i1038" DrawAspect="Content" ObjectID="_1672939675" r:id="rId32"/>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где температурный напор рассчитывается как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659" w:dyaOrig="1200">
          <v:shape id="_x0000_i1039" type="#_x0000_t75" style="width:133.1pt;height:59.9pt" o:ole="">
            <v:imagedata r:id="rId33" o:title=""/>
          </v:shape>
          <o:OLEObject Type="Embed" ProgID="Equation.3" ShapeID="_x0000_i1039" DrawAspect="Content" ObjectID="_1672939676" r:id="rId34"/>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а коэффициент теплопередачи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по критериальным формулам при предварительно заданной скорости движения газа и воздуха в диапазоне 7 -15 м/с. После определения площади поверхности теплообмена уточняются конструктивные характеристики воздухоподогревателя, а именно: число труб, длина, шаги между трубами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и уточняется значение коэффициента теплопередачи. Обычно воздухоподогреватель изготавливают из труб 40×1,5, шаги между трубами при шахматном их расположении составляют 40-45 мм и 45-60 мм. Для котлов малой мощности используют трубы меньшего диаметра. После уточнения конструктивных характеристик: общего числа труб n, поперечного и продольных шагов, свободного сечения для прохода газа и воздуха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уточняют значения скоростей газа и воздуха. Затем определяют уточненное значение площади поверхности воздухоподогревателя F и его длину </w:t>
      </w:r>
      <w:r w:rsidRPr="00126FD8">
        <w:rPr>
          <w:rFonts w:ascii="Times New Roman" w:hAnsi="Times New Roman" w:cs="Times New Roman"/>
          <w:sz w:val="28"/>
          <w:szCs w:val="28"/>
        </w:rPr>
        <w:object w:dxaOrig="1500" w:dyaOrig="360">
          <v:shape id="_x0000_i1040" type="#_x0000_t75" style="width:75.05pt;height:18.15pt" o:ole="">
            <v:imagedata r:id="rId35" o:title=""/>
          </v:shape>
          <o:OLEObject Type="Embed" ProgID="Equation.3" ShapeID="_x0000_i1040" DrawAspect="Content" ObjectID="_1672939677" r:id="rId36"/>
        </w:object>
      </w:r>
      <w:r w:rsidRPr="00126FD8">
        <w:rPr>
          <w:rFonts w:ascii="Times New Roman" w:hAnsi="Times New Roman" w:cs="Times New Roman"/>
          <w:sz w:val="28"/>
          <w:szCs w:val="28"/>
        </w:rPr>
        <w:t xml:space="preserve">. При известной массе металла </w:t>
      </w:r>
      <w:r w:rsidRPr="00126FD8">
        <w:rPr>
          <w:rFonts w:ascii="Times New Roman" w:hAnsi="Times New Roman" w:cs="Times New Roman"/>
          <w:sz w:val="28"/>
          <w:szCs w:val="28"/>
        </w:rPr>
        <w:object w:dxaOrig="1400" w:dyaOrig="380">
          <v:shape id="_x0000_i1041" type="#_x0000_t75" style="width:70.2pt;height:18.75pt" o:ole="">
            <v:imagedata r:id="rId37" o:title=""/>
          </v:shape>
          <o:OLEObject Type="Embed" ProgID="Equation.3" ShapeID="_x0000_i1041" DrawAspect="Content" ObjectID="_1672939678" r:id="rId38"/>
        </w:object>
      </w:r>
      <w:r w:rsidRPr="00126FD8">
        <w:rPr>
          <w:rFonts w:ascii="Times New Roman" w:hAnsi="Times New Roman" w:cs="Times New Roman"/>
          <w:sz w:val="28"/>
          <w:szCs w:val="28"/>
        </w:rPr>
        <w:t xml:space="preserve"> и стоимости одного килограмма Цм ориентировочные затраты на изготовление и монтаж воздухоподогревателя составят Звп≈2МЦм. На рис. 20 представлены расчеты годовой экономии топлива и затраты на монтаж (в ценах 2006 г.) воздухоподогревателя для котла КВГМ – 180 при различной температуре уходящих газов. Уменьшение температуры продуктов сгорания вплоть до 110 °С окупается практически за один год </w:t>
      </w:r>
      <w:r w:rsidRPr="00126FD8">
        <w:rPr>
          <w:rFonts w:ascii="Times New Roman" w:hAnsi="Times New Roman" w:cs="Times New Roman"/>
          <w:sz w:val="28"/>
          <w:szCs w:val="28"/>
        </w:rPr>
        <w:lastRenderedPageBreak/>
        <w:t>Звп ≈ Эт. При охлаждении продуктов сгорания до более низких температур возникают дополнительные затраты, связанные с обеспечением надежной работы дымовой трубы.</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drawing>
          <wp:inline distT="0" distB="0" distL="0" distR="0">
            <wp:extent cx="4664075" cy="2527935"/>
            <wp:effectExtent l="0" t="0" r="0" b="0"/>
            <wp:docPr id="18" name="Объект 1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Рисунок 20 - . Годовая экономия топлива и затраты на монтаж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воздухоподогревателя для котла КВГМ – 180</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2. Потери теплоты с химической неполнотой сгорания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Они должны быть сведены к нулю за счет правильного выбора горелок,  качества изготовления и монтажа, проведения наладки работы горелок и топочных туннелей.</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3. Потери теплоты в окружающую среду</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Для снижения расхода газа из-за потерь теплоты в окружающую среду следует тщательно выполнять и поддерживать в исправном состоянии ограждения котла, изоляции оборудования, трубопроводов, задвижек, фланцев и т.д.; при этом температура на поверхности обмуровки не должна превышать 55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при температуре окружающего воздуха 25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 xml:space="preserve">С.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4. Работа котельной установки в режиме пониженного давления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Работа котельной установки в режиме пониженного давления характеризуется следующим: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ab/>
        <w:t>а) уменьшение давления пара в барабане котла приводит к снижению степени сухости пара, особенно существенно при рк </w:t>
      </w:r>
      <w:r w:rsidRPr="00126FD8">
        <w:rPr>
          <w:rFonts w:ascii="Times New Roman" w:hAnsi="Times New Roman" w:cs="Times New Roman"/>
          <w:sz w:val="28"/>
          <w:szCs w:val="28"/>
        </w:rPr>
        <w:sym w:font="Symbol" w:char="F0A3"/>
      </w:r>
      <w:r w:rsidRPr="00126FD8">
        <w:rPr>
          <w:rFonts w:ascii="Times New Roman" w:hAnsi="Times New Roman" w:cs="Times New Roman"/>
          <w:sz w:val="28"/>
          <w:szCs w:val="28"/>
        </w:rPr>
        <w:t> 0,5рн. Кроме того, увеличение влажности пара может приводить к гидравлическим ударам в сетях и паропотребляющем оборудовании, увеличению времени технологических процессов, а в некоторых процессах и к браку продукции;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б) снижение давления пара и уменьшение температуры насыщения увеличивает температурный напор и приводит к более глубокому охлаждению продуктов сгорания, что несколько повышает КПД котла.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5. Температура питательной воды tв</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Она оказывает существенное влияние на экономичность работы котлоагрегатов. Для котлов с рн = 14 кгс/см2 увеличение температуры воды на входе в барабан котла tв.б на каждые 10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дает экономию газа на 1,7-2,2 % при условии сохранения постоянного значения КПД за счет дополнительных мероприятий. Расход природного газа на выработку пара может быть рассчитан из уравнения прямого баланса котлоагрегата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060" w:dyaOrig="400">
          <v:shape id="_x0000_i1042" type="#_x0000_t75" style="width:102.85pt;height:19.95pt" o:ole="">
            <v:imagedata r:id="rId40" o:title=""/>
          </v:shape>
          <o:OLEObject Type="Embed" ProgID="Equation.3" ShapeID="_x0000_i1042" DrawAspect="Content" ObjectID="_1672939679" r:id="rId41"/>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где D – паропроизводительность котельной; i</w:t>
      </w:r>
      <w:r w:rsidRPr="00126FD8">
        <w:rPr>
          <w:rFonts w:ascii="Times New Roman" w:hAnsi="Times New Roman" w:cs="Times New Roman"/>
          <w:sz w:val="28"/>
          <w:szCs w:val="28"/>
        </w:rPr>
        <w:sym w:font="Symbol" w:char="F0A2"/>
      </w:r>
      <w:r w:rsidRPr="00126FD8">
        <w:rPr>
          <w:rFonts w:ascii="Times New Roman" w:hAnsi="Times New Roman" w:cs="Times New Roman"/>
          <w:sz w:val="28"/>
          <w:szCs w:val="28"/>
        </w:rPr>
        <w:sym w:font="Symbol" w:char="F0A2"/>
      </w:r>
      <w:r w:rsidRPr="00126FD8">
        <w:rPr>
          <w:rFonts w:ascii="Times New Roman" w:hAnsi="Times New Roman" w:cs="Times New Roman"/>
          <w:sz w:val="28"/>
          <w:szCs w:val="28"/>
        </w:rPr>
        <w:t xml:space="preserve"> и iпв – энтальпии насыщенного пара и питательной воды.</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При температуре питательной воды 105-110 ºС, КПД, равном 90 %, и энтальпии насыщенного пара при давлении 14 кгс/см2, равной 2788 кДж/кг, расход природного газа на выработку одной тонны пара составит </w:t>
      </w:r>
      <w:r w:rsidRPr="00126FD8">
        <w:rPr>
          <w:rFonts w:ascii="Times New Roman" w:hAnsi="Times New Roman" w:cs="Times New Roman"/>
          <w:sz w:val="28"/>
          <w:szCs w:val="28"/>
        </w:rPr>
        <w:object w:dxaOrig="1340" w:dyaOrig="300">
          <v:shape id="_x0000_i1043" type="#_x0000_t75" style="width:67.15pt;height:15.15pt" o:ole="">
            <v:imagedata r:id="rId42" o:title=""/>
          </v:shape>
          <o:OLEObject Type="Embed" ProgID="Equation.3" ShapeID="_x0000_i1043" DrawAspect="Content" ObjectID="_1672939680" r:id="rId43"/>
        </w:object>
      </w:r>
      <w:r w:rsidRPr="00126FD8">
        <w:rPr>
          <w:rFonts w:ascii="Times New Roman" w:hAnsi="Times New Roman" w:cs="Times New Roman"/>
          <w:sz w:val="28"/>
          <w:szCs w:val="28"/>
        </w:rPr>
        <w:t xml:space="preserve"> м3/т. Повышение температуры питательной воды (при условии сохранения постоянных значений давления пара, производительности и КПД) можно оценить из уравнения прямого баланса котла (183)</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1400" w:dyaOrig="760">
          <v:shape id="_x0000_i1044" type="#_x0000_t75" style="width:70.2pt;height:38.1pt" o:ole="">
            <v:imagedata r:id="rId44" o:title=""/>
          </v:shape>
          <o:OLEObject Type="Embed" ProgID="Equation.3" ShapeID="_x0000_i1044" DrawAspect="Content" ObjectID="_1672939681" r:id="rId45"/>
        </w:object>
      </w:r>
      <w:r w:rsidRPr="00126FD8">
        <w:rPr>
          <w:rFonts w:ascii="Times New Roman" w:hAnsi="Times New Roman" w:cs="Times New Roman"/>
          <w:sz w:val="28"/>
          <w:szCs w:val="28"/>
        </w:rPr>
        <w:t>.</w:t>
      </w:r>
      <w:r w:rsidRPr="00126FD8">
        <w:rPr>
          <w:rFonts w:ascii="Times New Roman" w:hAnsi="Times New Roman" w:cs="Times New Roman"/>
          <w:sz w:val="28"/>
          <w:szCs w:val="28"/>
        </w:rPr>
        <w:tab/>
        <w:t xml:space="preserve">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Увеличение температуры питательной воды на 10 ºС приводит к уменьшению удельного расхода газа на </w:t>
      </w:r>
      <w:r w:rsidRPr="00126FD8">
        <w:rPr>
          <w:rFonts w:ascii="Times New Roman" w:hAnsi="Times New Roman" w:cs="Times New Roman"/>
          <w:sz w:val="28"/>
          <w:szCs w:val="28"/>
        </w:rPr>
        <w:object w:dxaOrig="4380" w:dyaOrig="380">
          <v:shape id="_x0000_i1045" type="#_x0000_t75" style="width:219.05pt;height:18.75pt" o:ole="">
            <v:imagedata r:id="rId46" o:title=""/>
          </v:shape>
          <o:OLEObject Type="Embed" ProgID="Equation.3" ShapeID="_x0000_i1045" DrawAspect="Content" ObjectID="_1672939682" r:id="rId47"/>
        </w:object>
      </w:r>
      <w:r w:rsidRPr="00126FD8">
        <w:rPr>
          <w:rFonts w:ascii="Times New Roman" w:hAnsi="Times New Roman" w:cs="Times New Roman"/>
          <w:sz w:val="28"/>
          <w:szCs w:val="28"/>
        </w:rPr>
        <w:t xml:space="preserve"> м3/т, или на (1,5/70)100 % ≈ 2 %.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Но увеличение температуры питательной воды приводит к увеличению температуры уходящих газов, особенно когда экономайзер является последней по ходу газов поверхностью, что приводит к снижению КПД. Потому положительный эффект от повышения температуры питательной </w:t>
      </w:r>
      <w:r w:rsidRPr="00126FD8">
        <w:rPr>
          <w:rFonts w:ascii="Times New Roman" w:hAnsi="Times New Roman" w:cs="Times New Roman"/>
          <w:sz w:val="28"/>
          <w:szCs w:val="28"/>
        </w:rPr>
        <w:lastRenderedPageBreak/>
        <w:t xml:space="preserve">воды может быть достигнут только при одновременном проведении мероприятий по снижению температуры уходящих газов. Так, например увеличение температуры питательной воды и установка теплофикационного экономайзера за паровым котлом дает суммарный положительный эффект.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6. Возврат конденсата в котельную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В практике эксплуатации паровых систем теплоснабжения недостаточное внимание уделяется сбору и возврату конденсата в котельную, а это приводит к значительному перерасходу топлива. Перерасход газа (</w:t>
      </w:r>
      <w:r w:rsidRPr="00126FD8">
        <w:rPr>
          <w:rFonts w:ascii="Times New Roman" w:hAnsi="Times New Roman" w:cs="Times New Roman"/>
          <w:sz w:val="28"/>
          <w:szCs w:val="28"/>
        </w:rPr>
        <w:sym w:font="Symbol" w:char="F044"/>
      </w:r>
      <w:r w:rsidRPr="00126FD8">
        <w:rPr>
          <w:rFonts w:ascii="Times New Roman" w:hAnsi="Times New Roman" w:cs="Times New Roman"/>
          <w:sz w:val="28"/>
          <w:szCs w:val="28"/>
        </w:rPr>
        <w:t>В, м3/ч) в котельной только за счет замещения физической теплоты невозвращенного от потребителя конденсата может быть рассчитан по формуле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480" w:dyaOrig="780">
          <v:shape id="_x0000_i1046" type="#_x0000_t75" style="width:124.05pt;height:38.7pt" o:ole="">
            <v:imagedata r:id="rId48" o:title=""/>
          </v:shape>
          <o:OLEObject Type="Embed" ProgID="Equation.3" ShapeID="_x0000_i1046" DrawAspect="Content" ObjectID="_1672939683" r:id="rId49"/>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D – паропроизводительность котельной, т/ч; </w:t>
      </w:r>
      <w:r w:rsidRPr="00126FD8">
        <w:rPr>
          <w:rFonts w:ascii="Times New Roman" w:hAnsi="Times New Roman" w:cs="Times New Roman"/>
          <w:sz w:val="28"/>
          <w:szCs w:val="28"/>
        </w:rPr>
        <w:sym w:font="Symbol" w:char="F06A"/>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доля возврата конденсата, доли единицы; D(1- </w:t>
      </w:r>
      <w:r w:rsidRPr="00126FD8">
        <w:rPr>
          <w:rFonts w:ascii="Times New Roman" w:hAnsi="Times New Roman" w:cs="Times New Roman"/>
          <w:sz w:val="28"/>
          <w:szCs w:val="28"/>
        </w:rPr>
        <w:sym w:font="Symbol" w:char="F06A"/>
      </w:r>
      <w:r w:rsidRPr="00126FD8">
        <w:rPr>
          <w:rFonts w:ascii="Times New Roman" w:hAnsi="Times New Roman" w:cs="Times New Roman"/>
          <w:sz w:val="28"/>
          <w:szCs w:val="28"/>
        </w:rPr>
        <w:t xml:space="preserve">) – количество конденсата, невозвращенное в котельную, в том числе и от расхода пара на собственные нужды, т/ч;  iк и iс.в – действительная энтальпия конденсата в котельной и энтальпия сырой (исходной) воды, кДж/кг. При полном невозврате конденсата φ = 0 удельный перерасход топлива составит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5319" w:dyaOrig="840">
          <v:shape id="_x0000_i1047" type="#_x0000_t75" style="width:266.2pt;height:41.75pt" o:ole="">
            <v:imagedata r:id="rId50" o:title=""/>
          </v:shape>
          <o:OLEObject Type="Embed" ProgID="Equation.3" ShapeID="_x0000_i1047" DrawAspect="Content" ObjectID="_1672939684" r:id="rId51"/>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что составляет 10/70·100 ≈ 15 % от расхода топлива на выработку пара.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7. Использование тепловой энергии непрерывной продувки котлов</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При избыточном давлении пара </w:t>
      </w:r>
      <w:r w:rsidRPr="00126FD8">
        <w:rPr>
          <w:rFonts w:ascii="Times New Roman" w:hAnsi="Times New Roman" w:cs="Times New Roman"/>
          <w:sz w:val="28"/>
          <w:szCs w:val="28"/>
        </w:rPr>
        <w:object w:dxaOrig="240" w:dyaOrig="260">
          <v:shape id="_x0000_i1048" type="#_x0000_t75" style="width:12.1pt;height:12.7pt" o:ole="">
            <v:imagedata r:id="rId52" o:title=""/>
          </v:shape>
          <o:OLEObject Type="Embed" ProgID="Equation.3" ShapeID="_x0000_i1048" DrawAspect="Content" ObjectID="_1672939685" r:id="rId53"/>
        </w:object>
      </w:r>
      <w:r w:rsidRPr="00126FD8">
        <w:rPr>
          <w:rFonts w:ascii="Times New Roman" w:hAnsi="Times New Roman" w:cs="Times New Roman"/>
          <w:sz w:val="28"/>
          <w:szCs w:val="28"/>
        </w:rPr>
        <w:t xml:space="preserve">=1,6-1,3 МПа, наиболее распространенном в отопительно-производственных котельных, каждый процент продувки, если тепловая энергия ее не используется, увеличивает расход топлива примерно на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5260" w:dyaOrig="780">
          <v:shape id="_x0000_i1049" type="#_x0000_t75" style="width:263.2pt;height:38.7pt" o:ole="">
            <v:imagedata r:id="rId54" o:title=""/>
          </v:shape>
          <o:OLEObject Type="Embed" ProgID="Equation.3" ShapeID="_x0000_i1049" DrawAspect="Content" ObjectID="_1672939686" r:id="rId55"/>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что составляет 0,24/70·100 = 0,34 % от расхода топлива на выработку пара.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При максимальной допустимой расчетной продувке 10 %, установленной нормами для котлов с давлением до 1,4 МПа, и без использования тепловой </w:t>
      </w:r>
      <w:r w:rsidRPr="00126FD8">
        <w:rPr>
          <w:rFonts w:ascii="Times New Roman" w:hAnsi="Times New Roman" w:cs="Times New Roman"/>
          <w:sz w:val="28"/>
          <w:szCs w:val="28"/>
        </w:rPr>
        <w:lastRenderedPageBreak/>
        <w:t>энергии продувочной воды потери топлива могут превысить 3,5 % общего расхода топлива.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8666" w:dyaOrig="6075">
          <v:shape id="_x0000_i1050" type="#_x0000_t75" style="width:303.15pt;height:212.35pt" o:ole="">
            <v:imagedata r:id="rId56" o:title=""/>
          </v:shape>
          <o:OLEObject Type="Embed" ProgID="KOMPAS.FRW" ShapeID="_x0000_i1050" DrawAspect="Content" ObjectID="_1672939687" r:id="rId57"/>
        </w:objec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21 -  Схема установки сепаратора и охладителя непрерывной продувки: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1 – барабан котла; 2 – сепаратор непрерывной продувки;</w:t>
      </w:r>
      <w:r w:rsidRPr="00126FD8">
        <w:rPr>
          <w:rFonts w:ascii="Times New Roman" w:hAnsi="Times New Roman" w:cs="Times New Roman"/>
          <w:sz w:val="28"/>
          <w:szCs w:val="28"/>
        </w:rPr>
        <w:br/>
        <w:t>3 – теплообменник-охладитель сепарированной воды; 4 – деаэратор</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Для использования тепловой энергии непрерывной продувки устанавливают сепаратор и теплообменник (рис. 21).</w:t>
      </w:r>
      <w:r w:rsidRPr="00126FD8">
        <w:rPr>
          <w:rFonts w:ascii="Times New Roman" w:hAnsi="Times New Roman" w:cs="Times New Roman"/>
          <w:sz w:val="28"/>
          <w:szCs w:val="28"/>
        </w:rPr>
        <w:tab/>
        <w:t>Экономия топлива на каждую тонну выработанного пара при использовании тепловой энергии продувочной воды с установкой сепаратора и теплообменника составит:</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820" w:dyaOrig="780">
          <v:shape id="_x0000_i1051" type="#_x0000_t75" style="width:191.2pt;height:38.7pt" o:ole="">
            <v:imagedata r:id="rId58" o:title=""/>
          </v:shape>
          <o:OLEObject Type="Embed" ProgID="Equation.3" ShapeID="_x0000_i1051" DrawAspect="Content" ObjectID="_1672939688" r:id="rId59"/>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Р – процент продувки; </w:t>
      </w:r>
      <w:r w:rsidRPr="00126FD8">
        <w:rPr>
          <w:rFonts w:ascii="Times New Roman" w:hAnsi="Times New Roman" w:cs="Times New Roman"/>
          <w:sz w:val="28"/>
          <w:szCs w:val="28"/>
        </w:rPr>
        <w:object w:dxaOrig="260" w:dyaOrig="380">
          <v:shape id="_x0000_i1052" type="#_x0000_t75" style="width:12.7pt;height:18.75pt" o:ole="">
            <v:imagedata r:id="rId60" o:title=""/>
          </v:shape>
          <o:OLEObject Type="Embed" ProgID="Equation.3" ShapeID="_x0000_i1052" DrawAspect="Content" ObjectID="_1672939689" r:id="rId61"/>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удельная энтальпия сепарированного пара, кДж/кг; </w:t>
      </w:r>
      <w:r w:rsidRPr="00126FD8">
        <w:rPr>
          <w:rFonts w:ascii="Times New Roman" w:hAnsi="Times New Roman" w:cs="Times New Roman"/>
          <w:sz w:val="28"/>
          <w:szCs w:val="28"/>
        </w:rPr>
        <w:object w:dxaOrig="240" w:dyaOrig="380">
          <v:shape id="_x0000_i1053" type="#_x0000_t75" style="width:12.1pt;height:18.75pt" o:ole="">
            <v:imagedata r:id="rId62" o:title=""/>
          </v:shape>
          <o:OLEObject Type="Embed" ProgID="Equation.3" ShapeID="_x0000_i1053" DrawAspect="Content" ObjectID="_1672939690" r:id="rId63"/>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удельная энтальпия сепарированной воды, кДж/кг; </w:t>
      </w:r>
      <w:r w:rsidRPr="00126FD8">
        <w:rPr>
          <w:rFonts w:ascii="Times New Roman" w:hAnsi="Times New Roman" w:cs="Times New Roman"/>
          <w:sz w:val="28"/>
          <w:szCs w:val="28"/>
        </w:rPr>
        <w:object w:dxaOrig="200" w:dyaOrig="360">
          <v:shape id="_x0000_i1054" type="#_x0000_t75" style="width:10.3pt;height:18.15pt" o:ole="">
            <v:imagedata r:id="rId64" o:title=""/>
          </v:shape>
          <o:OLEObject Type="Embed" ProgID="Equation.3" ShapeID="_x0000_i1054" DrawAspect="Content" ObjectID="_1672939691" r:id="rId65"/>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доля сепарированного пара, которая рассчитывается по выражению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1160" w:dyaOrig="780">
          <v:shape id="_x0000_i1055" type="#_x0000_t75" style="width:58.1pt;height:38.7pt" o:ole="">
            <v:imagedata r:id="rId66" o:title=""/>
          </v:shape>
          <o:OLEObject Type="Embed" ProgID="Equation.3" ShapeID="_x0000_i1055" DrawAspect="Content" ObjectID="_1672939692" r:id="rId67"/>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где i</w:t>
      </w:r>
      <w:r w:rsidRPr="00126FD8">
        <w:rPr>
          <w:rFonts w:ascii="Times New Roman" w:hAnsi="Times New Roman" w:cs="Times New Roman"/>
          <w:sz w:val="28"/>
          <w:szCs w:val="28"/>
        </w:rPr>
        <w:sym w:font="Symbol" w:char="F0A2"/>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энтальпия продувочной воды. При давлении в котле 1,4 МПа и давлении в сепараторе, близком к атмосферному, доля сепарированного пара составляет ~ 0,17-0,2.</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 xml:space="preserve">Степень использования тепла продувочной воды может быть охарактеризована коэффициентом использования </w:t>
      </w:r>
      <w:r w:rsidRPr="00126FD8">
        <w:rPr>
          <w:rFonts w:ascii="Times New Roman" w:hAnsi="Times New Roman" w:cs="Times New Roman"/>
          <w:sz w:val="28"/>
          <w:szCs w:val="28"/>
        </w:rPr>
        <w:sym w:font="Symbol" w:char="F066"/>
      </w:r>
      <w:r w:rsidRPr="00126FD8">
        <w:rPr>
          <w:rFonts w:ascii="Times New Roman" w:hAnsi="Times New Roman" w:cs="Times New Roman"/>
          <w:sz w:val="28"/>
          <w:szCs w:val="28"/>
        </w:rPr>
        <w:t xml:space="preserve">. При установке сепаратора и теплообменника </w:t>
      </w:r>
      <w:r w:rsidRPr="00126FD8">
        <w:rPr>
          <w:rFonts w:ascii="Times New Roman" w:hAnsi="Times New Roman" w:cs="Times New Roman"/>
          <w:sz w:val="28"/>
          <w:szCs w:val="28"/>
        </w:rPr>
        <w:sym w:font="Symbol" w:char="F066"/>
      </w:r>
      <w:r w:rsidRPr="00126FD8">
        <w:rPr>
          <w:rFonts w:ascii="Times New Roman" w:hAnsi="Times New Roman" w:cs="Times New Roman"/>
          <w:sz w:val="28"/>
          <w:szCs w:val="28"/>
        </w:rPr>
        <w:t xml:space="preserve"> определяется по формуле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519" w:dyaOrig="780">
          <v:shape id="_x0000_i1056" type="#_x0000_t75" style="width:176.05pt;height:38.7pt" o:ole="">
            <v:imagedata r:id="rId68" o:title=""/>
          </v:shape>
          <o:OLEObject Type="Embed" ProgID="Equation.3" ShapeID="_x0000_i1056" DrawAspect="Content" ObjectID="_1672939693" r:id="rId69"/>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Если установлен только сепаратор, при расчете по этой формуле принимают </w:t>
      </w:r>
      <w:r w:rsidRPr="00126FD8">
        <w:rPr>
          <w:rFonts w:ascii="Times New Roman" w:hAnsi="Times New Roman" w:cs="Times New Roman"/>
          <w:sz w:val="28"/>
          <w:szCs w:val="28"/>
        </w:rPr>
        <w:object w:dxaOrig="760" w:dyaOrig="380">
          <v:shape id="_x0000_i1057" type="#_x0000_t75" style="width:38.1pt;height:18.75pt" o:ole="">
            <v:imagedata r:id="rId70" o:title=""/>
          </v:shape>
          <o:OLEObject Type="Embed" ProgID="Equation.3" ShapeID="_x0000_i1057" DrawAspect="Content" ObjectID="_1672939694" r:id="rId71"/>
        </w:object>
      </w:r>
      <w:r w:rsidRPr="00126FD8">
        <w:rPr>
          <w:rFonts w:ascii="Times New Roman" w:hAnsi="Times New Roman" w:cs="Times New Roman"/>
          <w:sz w:val="28"/>
          <w:szCs w:val="28"/>
        </w:rPr>
        <w:t xml:space="preserve"> т.е. второй член в числителе равен нулю.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8. Режимы работы котельного оборудования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Большие, легкодоступные, практически не  требующие затрат резервы экономии газа и электроэнергии заключены в оптимальном распределении нагрузок между котлами, работающими на общего потребителя.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С уменьшением нагрузки ниже номинальной (рис. 22) уменьшается температура уходящих газов, а значит, падают потери теплоты с уходящими газами. При малых нагрузках уменьшаются скорости истечения газа и воздуха, ухудшается их смешение и могут возникнуть потери с химической неполнотой сгорания. Абсолютные потери теплоты через обмуровку остаются практически неизменными, а относительные (отнесенные на единицу расхода топлива) естественно возрастают. Это приводит к тому, что при пониженных нагрузках имеется максимальное значение КПД (рис. 23). Значение нагрузки котла, при которой КПД достигает максимума, зависит от множества факторов, основными из которых являются вид топлива, тип котла и его номинальная мощность.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На основании режимных карт для каждого котлоагрегата может быть построена расходная характеристика, представляющая собой графическую зависимость расхода топлива от количества выработанного пара или тепловой энергии. Характеристика должна быть определена экспериментально при работе котлоагрегата при исправном состоянии оборудования. Расходные характеристики котлоагрегатов, приведенные на рис. 24, можно выразить в виде функциональных зависимостей: </w:t>
      </w:r>
      <w:r w:rsidRPr="00126FD8">
        <w:rPr>
          <w:rFonts w:ascii="Times New Roman" w:hAnsi="Times New Roman" w:cs="Times New Roman"/>
          <w:sz w:val="28"/>
          <w:szCs w:val="28"/>
        </w:rPr>
        <w:object w:dxaOrig="1140" w:dyaOrig="340">
          <v:shape id="_x0000_i1058" type="#_x0000_t75" style="width:56.85pt;height:16.95pt" o:ole="">
            <v:imagedata r:id="rId72" o:title=""/>
          </v:shape>
          <o:OLEObject Type="Embed" ProgID="Equation.3" ShapeID="_x0000_i1058" DrawAspect="Content" ObjectID="_1672939695" r:id="rId73"/>
        </w:object>
      </w:r>
      <w:r w:rsidRPr="00126FD8">
        <w:rPr>
          <w:rFonts w:ascii="Times New Roman" w:hAnsi="Times New Roman" w:cs="Times New Roman"/>
          <w:sz w:val="28"/>
          <w:szCs w:val="28"/>
        </w:rPr>
        <w:t xml:space="preserve"> и </w:t>
      </w:r>
      <w:r w:rsidRPr="00126FD8">
        <w:rPr>
          <w:rFonts w:ascii="Times New Roman" w:hAnsi="Times New Roman" w:cs="Times New Roman"/>
          <w:sz w:val="28"/>
          <w:szCs w:val="28"/>
        </w:rPr>
        <w:object w:dxaOrig="1200" w:dyaOrig="340">
          <v:shape id="_x0000_i1059" type="#_x0000_t75" style="width:59.9pt;height:16.95pt" o:ole="">
            <v:imagedata r:id="rId74" o:title=""/>
          </v:shape>
          <o:OLEObject Type="Embed" ProgID="Equation.3" ShapeID="_x0000_i1059" DrawAspect="Content" ObjectID="_1672939696" r:id="rId75"/>
        </w:object>
      </w:r>
      <w:r w:rsidRPr="00126FD8">
        <w:rPr>
          <w:rFonts w:ascii="Times New Roman" w:hAnsi="Times New Roman" w:cs="Times New Roman"/>
          <w:sz w:val="28"/>
          <w:szCs w:val="28"/>
        </w:rPr>
        <w:t xml:space="preserve">, где </w:t>
      </w:r>
      <w:r w:rsidRPr="00126FD8">
        <w:rPr>
          <w:rFonts w:ascii="Times New Roman" w:hAnsi="Times New Roman" w:cs="Times New Roman"/>
          <w:sz w:val="28"/>
          <w:szCs w:val="28"/>
        </w:rPr>
        <w:object w:dxaOrig="279" w:dyaOrig="340">
          <v:shape id="_x0000_i1060" type="#_x0000_t75" style="width:13.9pt;height:16.95pt" o:ole="">
            <v:imagedata r:id="rId76" o:title=""/>
          </v:shape>
          <o:OLEObject Type="Embed" ProgID="Equation.3" ShapeID="_x0000_i1060" DrawAspect="Content" ObjectID="_1672939697" r:id="rId77"/>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object w:dxaOrig="300" w:dyaOrig="340">
          <v:shape id="_x0000_i1061" type="#_x0000_t75" style="width:15.15pt;height:16.95pt" o:ole="">
            <v:imagedata r:id="rId78" o:title=""/>
          </v:shape>
          <o:OLEObject Type="Embed" ProgID="Equation.3" ShapeID="_x0000_i1061" DrawAspect="Content" ObjectID="_1672939698" r:id="rId79"/>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часовой расход топлива соответственно котлами №1 и №2; </w:t>
      </w:r>
      <w:r w:rsidRPr="00126FD8">
        <w:rPr>
          <w:rFonts w:ascii="Times New Roman" w:hAnsi="Times New Roman" w:cs="Times New Roman"/>
          <w:sz w:val="28"/>
          <w:szCs w:val="28"/>
        </w:rPr>
        <w:object w:dxaOrig="300" w:dyaOrig="340">
          <v:shape id="_x0000_i1062" type="#_x0000_t75" style="width:15.15pt;height:16.95pt" o:ole="">
            <v:imagedata r:id="rId80" o:title=""/>
          </v:shape>
          <o:OLEObject Type="Embed" ProgID="Equation.3" ShapeID="_x0000_i1062" DrawAspect="Content" ObjectID="_1672939699" r:id="rId81"/>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object w:dxaOrig="340" w:dyaOrig="340">
          <v:shape id="_x0000_i1063" type="#_x0000_t75" style="width:16.95pt;height:16.95pt" o:ole="">
            <v:imagedata r:id="rId82" o:title=""/>
          </v:shape>
          <o:OLEObject Type="Embed" ProgID="Equation.3" ShapeID="_x0000_i1063" DrawAspect="Content" ObjectID="_1672939700" r:id="rId83"/>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паро- или теплопроизводительность этих котлов.</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drawing>
          <wp:inline distT="0" distB="0" distL="0" distR="0">
            <wp:extent cx="4349115" cy="2351405"/>
            <wp:effectExtent l="0" t="0" r="0" b="0"/>
            <wp:docPr id="41" name="Объект 4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22- Изменение потерь с уменьшением нагрузки котла: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1 – потери теплоты с уходящими газами; 2 – потери теплоты с химической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неполнотой сгорания; 3 – потери теплоты через ограждения</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Суммарная выработка пара (тепловой энергии) в единицу времени двумя котлами составляет </w:t>
      </w:r>
      <w:r w:rsidRPr="00126FD8">
        <w:rPr>
          <w:rFonts w:ascii="Times New Roman" w:hAnsi="Times New Roman" w:cs="Times New Roman"/>
          <w:sz w:val="28"/>
          <w:szCs w:val="28"/>
        </w:rPr>
        <w:object w:dxaOrig="340" w:dyaOrig="340">
          <v:shape id="_x0000_i1064" type="#_x0000_t75" style="width:16.95pt;height:16.95pt" o:ole="">
            <v:imagedata r:id="rId85" o:title=""/>
          </v:shape>
          <o:OLEObject Type="Embed" ProgID="Equation.3" ShapeID="_x0000_i1064" DrawAspect="Content" ObjectID="_1672939701" r:id="rId86"/>
        </w:object>
      </w:r>
      <w:r w:rsidRPr="00126FD8">
        <w:rPr>
          <w:rFonts w:ascii="Times New Roman" w:hAnsi="Times New Roman" w:cs="Times New Roman"/>
          <w:sz w:val="28"/>
          <w:szCs w:val="28"/>
        </w:rPr>
        <w:t xml:space="preserve">. Если котел №1 загружен до значения </w:t>
      </w:r>
      <w:r w:rsidRPr="00126FD8">
        <w:rPr>
          <w:rFonts w:ascii="Times New Roman" w:hAnsi="Times New Roman" w:cs="Times New Roman"/>
          <w:sz w:val="28"/>
          <w:szCs w:val="28"/>
        </w:rPr>
        <w:object w:dxaOrig="300" w:dyaOrig="340">
          <v:shape id="_x0000_i1065" type="#_x0000_t75" style="width:15.15pt;height:16.95pt" o:ole="">
            <v:imagedata r:id="rId80" o:title=""/>
          </v:shape>
          <o:OLEObject Type="Embed" ProgID="Equation.3" ShapeID="_x0000_i1065" DrawAspect="Content" ObjectID="_1672939702" r:id="rId87"/>
        </w:object>
      </w:r>
      <w:r w:rsidRPr="00126FD8">
        <w:rPr>
          <w:rFonts w:ascii="Times New Roman" w:hAnsi="Times New Roman" w:cs="Times New Roman"/>
          <w:sz w:val="28"/>
          <w:szCs w:val="28"/>
        </w:rPr>
        <w:t xml:space="preserve">, то загрузка котла №2 составит </w:t>
      </w:r>
      <w:r w:rsidRPr="00126FD8">
        <w:rPr>
          <w:rFonts w:ascii="Times New Roman" w:hAnsi="Times New Roman" w:cs="Times New Roman"/>
          <w:sz w:val="28"/>
          <w:szCs w:val="28"/>
        </w:rPr>
        <w:object w:dxaOrig="1380" w:dyaOrig="340">
          <v:shape id="_x0000_i1066" type="#_x0000_t75" style="width:68.95pt;height:16.95pt" o:ole="">
            <v:imagedata r:id="rId88" o:title=""/>
          </v:shape>
          <o:OLEObject Type="Embed" ProgID="Equation.3" ShapeID="_x0000_i1066" DrawAspect="Content" ObjectID="_1672939703" r:id="rId89"/>
        </w:object>
      </w:r>
      <w:r w:rsidRPr="00126FD8">
        <w:rPr>
          <w:rFonts w:ascii="Times New Roman" w:hAnsi="Times New Roman" w:cs="Times New Roman"/>
          <w:sz w:val="28"/>
          <w:szCs w:val="28"/>
        </w:rPr>
        <w:t xml:space="preserve">. Следовательно, </w:t>
      </w:r>
      <w:r w:rsidRPr="00126FD8">
        <w:rPr>
          <w:rFonts w:ascii="Times New Roman" w:hAnsi="Times New Roman" w:cs="Times New Roman"/>
          <w:sz w:val="28"/>
          <w:szCs w:val="28"/>
        </w:rPr>
        <w:object w:dxaOrig="1140" w:dyaOrig="340">
          <v:shape id="_x0000_i1067" type="#_x0000_t75" style="width:56.85pt;height:16.95pt" o:ole="">
            <v:imagedata r:id="rId90" o:title=""/>
          </v:shape>
          <o:OLEObject Type="Embed" ProgID="Equation.3" ShapeID="_x0000_i1067" DrawAspect="Content" ObjectID="_1672939704" r:id="rId91"/>
        </w:object>
      </w:r>
      <w:r w:rsidRPr="00126FD8">
        <w:rPr>
          <w:rFonts w:ascii="Times New Roman" w:hAnsi="Times New Roman" w:cs="Times New Roman"/>
          <w:sz w:val="28"/>
          <w:szCs w:val="28"/>
        </w:rPr>
        <w:t xml:space="preserve"> и </w:t>
      </w:r>
      <w:r w:rsidRPr="00126FD8">
        <w:rPr>
          <w:rFonts w:ascii="Times New Roman" w:hAnsi="Times New Roman" w:cs="Times New Roman"/>
          <w:sz w:val="28"/>
          <w:szCs w:val="28"/>
        </w:rPr>
        <w:object w:dxaOrig="1700" w:dyaOrig="340">
          <v:shape id="_x0000_i1068" type="#_x0000_t75" style="width:84.7pt;height:16.95pt" o:ole="">
            <v:imagedata r:id="rId92" o:title=""/>
          </v:shape>
          <o:OLEObject Type="Embed" ProgID="Equation.3" ShapeID="_x0000_i1068" DrawAspect="Content" ObjectID="_1672939705" r:id="rId93"/>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Суммарный расход топлива на два котла составит:</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960" w:dyaOrig="380">
          <v:shape id="_x0000_i1069" type="#_x0000_t75" style="width:197.85pt;height:18.75pt" o:ole="">
            <v:imagedata r:id="rId94" o:title=""/>
          </v:shape>
          <o:OLEObject Type="Embed" ProgID="Equation.3" ShapeID="_x0000_i1069" DrawAspect="Content" ObjectID="_1672939706" r:id="rId95"/>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drawing>
          <wp:inline distT="0" distB="0" distL="0" distR="0">
            <wp:extent cx="4664075" cy="2604770"/>
            <wp:effectExtent l="0" t="0" r="0" b="0"/>
            <wp:docPr id="48" name="Объект 4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23 - Изменение КПД при уменьшении нагрузки котла</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Для того чтобы расход топлива </w:t>
      </w:r>
      <w:r w:rsidRPr="00126FD8">
        <w:rPr>
          <w:rFonts w:ascii="Times New Roman" w:hAnsi="Times New Roman" w:cs="Times New Roman"/>
          <w:sz w:val="28"/>
          <w:szCs w:val="28"/>
        </w:rPr>
        <w:object w:dxaOrig="320" w:dyaOrig="340">
          <v:shape id="_x0000_i1070" type="#_x0000_t75" style="width:15.75pt;height:16.95pt" o:ole="">
            <v:imagedata r:id="rId97" o:title=""/>
          </v:shape>
          <o:OLEObject Type="Embed" ProgID="Equation.3" ShapeID="_x0000_i1070" DrawAspect="Content" ObjectID="_1672939707" r:id="rId98"/>
        </w:object>
      </w:r>
      <w:r w:rsidRPr="00126FD8">
        <w:rPr>
          <w:rFonts w:ascii="Times New Roman" w:hAnsi="Times New Roman" w:cs="Times New Roman"/>
          <w:sz w:val="28"/>
          <w:szCs w:val="28"/>
        </w:rPr>
        <w:t xml:space="preserve"> был наименьшим (оптимальным), необходимо, чтобы первая производная суммы в правой части уравнения, взятая по нагрузке любого из котлов, равнялась нулю, а вторая производная была положительной. Таким образом, условие минимума суммарного расхода топлива </w:t>
      </w:r>
      <w:r w:rsidRPr="00126FD8">
        <w:rPr>
          <w:rFonts w:ascii="Times New Roman" w:hAnsi="Times New Roman" w:cs="Times New Roman"/>
          <w:sz w:val="28"/>
          <w:szCs w:val="28"/>
        </w:rPr>
        <w:object w:dxaOrig="320" w:dyaOrig="340">
          <v:shape id="_x0000_i1071" type="#_x0000_t75" style="width:15.75pt;height:16.95pt" o:ole="">
            <v:imagedata r:id="rId97" o:title=""/>
          </v:shape>
          <o:OLEObject Type="Embed" ProgID="Equation.3" ShapeID="_x0000_i1071" DrawAspect="Content" ObjectID="_1672939708" r:id="rId99"/>
        </w:object>
      </w:r>
      <w:r w:rsidRPr="00126FD8">
        <w:rPr>
          <w:rFonts w:ascii="Times New Roman" w:hAnsi="Times New Roman" w:cs="Times New Roman"/>
          <w:sz w:val="28"/>
          <w:szCs w:val="28"/>
        </w:rPr>
        <w:t xml:space="preserve"> можно получить в результате дифференцирования вышеприведенного выражения, например, по </w:t>
      </w:r>
      <w:r w:rsidRPr="00126FD8">
        <w:rPr>
          <w:rFonts w:ascii="Times New Roman" w:hAnsi="Times New Roman" w:cs="Times New Roman"/>
          <w:sz w:val="28"/>
          <w:szCs w:val="28"/>
        </w:rPr>
        <w:object w:dxaOrig="300" w:dyaOrig="340">
          <v:shape id="_x0000_i1072" type="#_x0000_t75" style="width:15.15pt;height:16.95pt" o:ole="">
            <v:imagedata r:id="rId80" o:title=""/>
          </v:shape>
          <o:OLEObject Type="Embed" ProgID="Equation.3" ShapeID="_x0000_i1072" DrawAspect="Content" ObjectID="_1672939709" r:id="rId100"/>
        </w:object>
      </w:r>
      <w:r w:rsidRPr="00126FD8">
        <w:rPr>
          <w:rFonts w:ascii="Times New Roman" w:hAnsi="Times New Roman" w:cs="Times New Roman"/>
          <w:sz w:val="28"/>
          <w:szCs w:val="28"/>
        </w:rPr>
        <w:t>, т.е.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4459" w:dyaOrig="780">
          <v:shape id="_x0000_i1073" type="#_x0000_t75" style="width:222.65pt;height:38.7pt" o:ole="">
            <v:imagedata r:id="rId101" o:title=""/>
          </v:shape>
          <o:OLEObject Type="Embed" ProgID="Equation.3" ShapeID="_x0000_i1073" DrawAspect="Content" ObjectID="_1672939710" r:id="rId102"/>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5219" w:dyaOrig="4557">
          <v:shape id="_x0000_i1074" type="#_x0000_t75" style="width:196.05pt;height:171.25pt" o:ole="">
            <v:imagedata r:id="rId103" o:title=""/>
          </v:shape>
          <o:OLEObject Type="Embed" ProgID="KOMPAS.FRW" ShapeID="_x0000_i1074" DrawAspect="Content" ObjectID="_1672939711" r:id="rId104"/>
        </w:objec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24 -  Расходные характеристики котлоагрегатов</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Производная </w:t>
      </w:r>
      <w:r w:rsidRPr="00126FD8">
        <w:rPr>
          <w:rFonts w:ascii="Times New Roman" w:hAnsi="Times New Roman" w:cs="Times New Roman"/>
          <w:sz w:val="28"/>
          <w:szCs w:val="28"/>
        </w:rPr>
        <w:object w:dxaOrig="960" w:dyaOrig="340">
          <v:shape id="_x0000_i1075" type="#_x0000_t75" style="width:47.8pt;height:16.95pt" o:ole="">
            <v:imagedata r:id="rId105" o:title=""/>
          </v:shape>
          <o:OLEObject Type="Embed" ProgID="Equation.3" ShapeID="_x0000_i1075" DrawAspect="Content" ObjectID="_1672939712" r:id="rId106"/>
        </w:object>
      </w:r>
      <w:r w:rsidRPr="00126FD8">
        <w:rPr>
          <w:rFonts w:ascii="Times New Roman" w:hAnsi="Times New Roman" w:cs="Times New Roman"/>
          <w:sz w:val="28"/>
          <w:szCs w:val="28"/>
        </w:rPr>
        <w:t xml:space="preserve"> может быть определена из условия </w:t>
      </w:r>
      <w:r w:rsidRPr="00126FD8">
        <w:rPr>
          <w:rFonts w:ascii="Times New Roman" w:hAnsi="Times New Roman" w:cs="Times New Roman"/>
          <w:sz w:val="28"/>
          <w:szCs w:val="28"/>
        </w:rPr>
        <w:object w:dxaOrig="2439" w:dyaOrig="380">
          <v:shape id="_x0000_i1076" type="#_x0000_t75" style="width:122.2pt;height:18.75pt" o:ole="">
            <v:imagedata r:id="rId107" o:title=""/>
          </v:shape>
          <o:OLEObject Type="Embed" ProgID="Equation.3" ShapeID="_x0000_i1076" DrawAspect="Content" ObjectID="_1672939713" r:id="rId108"/>
        </w:object>
      </w:r>
      <w:r w:rsidRPr="00126FD8">
        <w:rPr>
          <w:rFonts w:ascii="Times New Roman" w:hAnsi="Times New Roman" w:cs="Times New Roman"/>
          <w:sz w:val="28"/>
          <w:szCs w:val="28"/>
        </w:rPr>
        <w:t xml:space="preserve">, следовательно, </w:t>
      </w:r>
      <w:r w:rsidRPr="00126FD8">
        <w:rPr>
          <w:rFonts w:ascii="Times New Roman" w:hAnsi="Times New Roman" w:cs="Times New Roman"/>
          <w:sz w:val="28"/>
          <w:szCs w:val="28"/>
        </w:rPr>
        <w:object w:dxaOrig="1640" w:dyaOrig="380">
          <v:shape id="_x0000_i1077" type="#_x0000_t75" style="width:82.3pt;height:18.75pt" o:ole="">
            <v:imagedata r:id="rId109" o:title=""/>
          </v:shape>
          <o:OLEObject Type="Embed" ProgID="Equation.3" ShapeID="_x0000_i1077" DrawAspect="Content" ObjectID="_1672939714" r:id="rId110"/>
        </w:object>
      </w:r>
      <w:r w:rsidRPr="00126FD8">
        <w:rPr>
          <w:rFonts w:ascii="Times New Roman" w:hAnsi="Times New Roman" w:cs="Times New Roman"/>
          <w:sz w:val="28"/>
          <w:szCs w:val="28"/>
        </w:rPr>
        <w:t xml:space="preserve">. Разделив последнее выражение на </w:t>
      </w:r>
      <w:r w:rsidRPr="00126FD8">
        <w:rPr>
          <w:rFonts w:ascii="Times New Roman" w:hAnsi="Times New Roman" w:cs="Times New Roman"/>
          <w:sz w:val="28"/>
          <w:szCs w:val="28"/>
        </w:rPr>
        <w:object w:dxaOrig="460" w:dyaOrig="380">
          <v:shape id="_x0000_i1078" type="#_x0000_t75" style="width:23pt;height:18.75pt" o:ole="">
            <v:imagedata r:id="rId111" o:title=""/>
          </v:shape>
          <o:OLEObject Type="Embed" ProgID="Equation.3" ShapeID="_x0000_i1078" DrawAspect="Content" ObjectID="_1672939715" r:id="rId112"/>
        </w:object>
      </w:r>
      <w:r w:rsidRPr="00126FD8">
        <w:rPr>
          <w:rFonts w:ascii="Times New Roman" w:hAnsi="Times New Roman" w:cs="Times New Roman"/>
          <w:sz w:val="28"/>
          <w:szCs w:val="28"/>
        </w:rPr>
        <w:t xml:space="preserve">, получим </w:t>
      </w:r>
      <w:r w:rsidRPr="00126FD8">
        <w:rPr>
          <w:rFonts w:ascii="Times New Roman" w:hAnsi="Times New Roman" w:cs="Times New Roman"/>
          <w:sz w:val="28"/>
          <w:szCs w:val="28"/>
        </w:rPr>
        <w:object w:dxaOrig="1900" w:dyaOrig="380">
          <v:shape id="_x0000_i1079" type="#_x0000_t75" style="width:95pt;height:18.75pt" o:ole="">
            <v:imagedata r:id="rId113" o:title=""/>
          </v:shape>
          <o:OLEObject Type="Embed" ProgID="Equation.3" ShapeID="_x0000_i1079" DrawAspect="Content" ObjectID="_1672939716" r:id="rId114"/>
        </w:object>
      </w:r>
      <w:r w:rsidRPr="00126FD8">
        <w:rPr>
          <w:rFonts w:ascii="Times New Roman" w:hAnsi="Times New Roman" w:cs="Times New Roman"/>
          <w:sz w:val="28"/>
          <w:szCs w:val="28"/>
        </w:rPr>
        <w:t xml:space="preserve"> или </w:t>
      </w:r>
      <w:r w:rsidRPr="00126FD8">
        <w:rPr>
          <w:rFonts w:ascii="Times New Roman" w:hAnsi="Times New Roman" w:cs="Times New Roman"/>
          <w:sz w:val="28"/>
          <w:szCs w:val="28"/>
        </w:rPr>
        <w:object w:dxaOrig="1660" w:dyaOrig="380">
          <v:shape id="_x0000_i1080" type="#_x0000_t75" style="width:82.9pt;height:18.75pt" o:ole="">
            <v:imagedata r:id="rId115" o:title=""/>
          </v:shape>
          <o:OLEObject Type="Embed" ProgID="Equation.3" ShapeID="_x0000_i1080" DrawAspect="Content" ObjectID="_1672939717" r:id="rId116"/>
        </w:object>
      </w:r>
      <w:r w:rsidRPr="00126FD8">
        <w:rPr>
          <w:rFonts w:ascii="Times New Roman" w:hAnsi="Times New Roman" w:cs="Times New Roman"/>
          <w:sz w:val="28"/>
          <w:szCs w:val="28"/>
        </w:rPr>
        <w:t xml:space="preserve">. Подставляя в правую часть выражения </w:t>
      </w:r>
      <w:r w:rsidRPr="00126FD8">
        <w:rPr>
          <w:rFonts w:ascii="Times New Roman" w:hAnsi="Times New Roman" w:cs="Times New Roman"/>
          <w:sz w:val="28"/>
          <w:szCs w:val="28"/>
        </w:rPr>
        <w:object w:dxaOrig="1480" w:dyaOrig="340">
          <v:shape id="_x0000_i1081" type="#_x0000_t75" style="width:73.8pt;height:16.95pt" o:ole="">
            <v:imagedata r:id="rId117" o:title=""/>
          </v:shape>
          <o:OLEObject Type="Embed" ProgID="Equation.3" ShapeID="_x0000_i1081" DrawAspect="Content" ObjectID="_1672939718" r:id="rId118"/>
        </w:object>
      </w:r>
      <w:r w:rsidRPr="00126FD8">
        <w:rPr>
          <w:rFonts w:ascii="Times New Roman" w:hAnsi="Times New Roman" w:cs="Times New Roman"/>
          <w:sz w:val="28"/>
          <w:szCs w:val="28"/>
        </w:rPr>
        <w:t>, получаем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299" w:dyaOrig="380">
          <v:shape id="_x0000_i1082" type="#_x0000_t75" style="width:114.95pt;height:18.75pt" o:ole="">
            <v:imagedata r:id="rId119" o:title=""/>
          </v:shape>
          <o:OLEObject Type="Embed" ProgID="Equation.3" ShapeID="_x0000_i1082" DrawAspect="Content" ObjectID="_1672939719" r:id="rId120"/>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Это выражение показывает, что для получения минимального суммарного расхода топлива каждый из котлов должен нести такую </w:t>
      </w:r>
      <w:r w:rsidRPr="00126FD8">
        <w:rPr>
          <w:rFonts w:ascii="Times New Roman" w:hAnsi="Times New Roman" w:cs="Times New Roman"/>
          <w:sz w:val="28"/>
          <w:szCs w:val="28"/>
        </w:rPr>
        <w:lastRenderedPageBreak/>
        <w:t xml:space="preserve">нагрузку, при которой наклон касательной к характеристике одного агрегата равен наклону касательной к характеристике другого агрегата, или </w:t>
      </w:r>
      <w:r w:rsidRPr="00126FD8">
        <w:rPr>
          <w:rFonts w:ascii="Times New Roman" w:hAnsi="Times New Roman" w:cs="Times New Roman"/>
          <w:sz w:val="28"/>
          <w:szCs w:val="28"/>
        </w:rPr>
        <w:object w:dxaOrig="1400" w:dyaOrig="380">
          <v:shape id="_x0000_i1083" type="#_x0000_t75" style="width:70.2pt;height:18.75pt" o:ole="">
            <v:imagedata r:id="rId121" o:title=""/>
          </v:shape>
          <o:OLEObject Type="Embed" ProgID="Equation.3" ShapeID="_x0000_i1083" DrawAspect="Content" ObjectID="_1672939720" r:id="rId122"/>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Заменив производные в выражении отношениями </w:t>
      </w:r>
      <w:r w:rsidRPr="00126FD8">
        <w:rPr>
          <w:rFonts w:ascii="Times New Roman" w:hAnsi="Times New Roman" w:cs="Times New Roman"/>
          <w:sz w:val="28"/>
          <w:szCs w:val="28"/>
        </w:rPr>
        <w:object w:dxaOrig="380" w:dyaOrig="260">
          <v:shape id="_x0000_i1084" type="#_x0000_t75" style="width:18.75pt;height:12.7pt" o:ole="">
            <v:imagedata r:id="rId123" o:title=""/>
          </v:shape>
          <o:OLEObject Type="Embed" ProgID="Equation.3" ShapeID="_x0000_i1084" DrawAspect="Content" ObjectID="_1672939721" r:id="rId124"/>
        </w:object>
      </w:r>
      <w:r w:rsidRPr="00126FD8">
        <w:rPr>
          <w:rFonts w:ascii="Times New Roman" w:hAnsi="Times New Roman" w:cs="Times New Roman"/>
          <w:sz w:val="28"/>
          <w:szCs w:val="28"/>
        </w:rPr>
        <w:t xml:space="preserve"> и </w:t>
      </w:r>
      <w:r w:rsidRPr="00126FD8">
        <w:rPr>
          <w:rFonts w:ascii="Times New Roman" w:hAnsi="Times New Roman" w:cs="Times New Roman"/>
          <w:sz w:val="28"/>
          <w:szCs w:val="28"/>
        </w:rPr>
        <w:object w:dxaOrig="400" w:dyaOrig="260">
          <v:shape id="_x0000_i1085" type="#_x0000_t75" style="width:19.95pt;height:12.7pt" o:ole="">
            <v:imagedata r:id="rId125" o:title=""/>
          </v:shape>
          <o:OLEObject Type="Embed" ProgID="Equation.3" ShapeID="_x0000_i1085" DrawAspect="Content" ObjectID="_1672939722" r:id="rId126"/>
        </w:object>
      </w:r>
      <w:r w:rsidRPr="00126FD8">
        <w:rPr>
          <w:rFonts w:ascii="Times New Roman" w:hAnsi="Times New Roman" w:cs="Times New Roman"/>
          <w:sz w:val="28"/>
          <w:szCs w:val="28"/>
        </w:rPr>
        <w:t>, получим условие минимального суммарного расхода топлива в котельной в виде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360" w:dyaOrig="380">
          <v:shape id="_x0000_i1086" type="#_x0000_t75" style="width:118pt;height:18.75pt" o:ole="">
            <v:imagedata r:id="rId127" o:title=""/>
          </v:shape>
          <o:OLEObject Type="Embed" ProgID="Equation.3" ShapeID="_x0000_i1086" DrawAspect="Content" ObjectID="_1672939723" r:id="rId128"/>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Величину, характеризующую удельный прирост расхода топлива </w:t>
      </w:r>
      <w:r w:rsidRPr="00126FD8">
        <w:rPr>
          <w:rFonts w:ascii="Times New Roman" w:hAnsi="Times New Roman" w:cs="Times New Roman"/>
          <w:sz w:val="28"/>
          <w:szCs w:val="28"/>
        </w:rPr>
        <w:object w:dxaOrig="420" w:dyaOrig="340">
          <v:shape id="_x0000_i1087" type="#_x0000_t75" style="width:21.2pt;height:16.95pt" o:ole="">
            <v:imagedata r:id="rId129" o:title=""/>
          </v:shape>
          <o:OLEObject Type="Embed" ProgID="Equation.3" ShapeID="_x0000_i1087" DrawAspect="Content" ObjectID="_1672939724" r:id="rId130"/>
        </w:object>
      </w:r>
      <w:r w:rsidRPr="00126FD8">
        <w:rPr>
          <w:rFonts w:ascii="Times New Roman" w:hAnsi="Times New Roman" w:cs="Times New Roman"/>
          <w:sz w:val="28"/>
          <w:szCs w:val="28"/>
        </w:rPr>
        <w:t xml:space="preserve"> и </w:t>
      </w:r>
      <w:r w:rsidRPr="00126FD8">
        <w:rPr>
          <w:rFonts w:ascii="Times New Roman" w:hAnsi="Times New Roman" w:cs="Times New Roman"/>
          <w:sz w:val="28"/>
          <w:szCs w:val="28"/>
        </w:rPr>
        <w:object w:dxaOrig="480" w:dyaOrig="340">
          <v:shape id="_x0000_i1088" type="#_x0000_t75" style="width:24.2pt;height:16.95pt" o:ole="">
            <v:imagedata r:id="rId131" o:title=""/>
          </v:shape>
          <o:OLEObject Type="Embed" ProgID="Equation.3" ShapeID="_x0000_i1088" DrawAspect="Content" ObjectID="_1672939725" r:id="rId132"/>
        </w:object>
      </w:r>
      <w:r w:rsidRPr="00126FD8">
        <w:rPr>
          <w:rFonts w:ascii="Times New Roman" w:hAnsi="Times New Roman" w:cs="Times New Roman"/>
          <w:sz w:val="28"/>
          <w:szCs w:val="28"/>
        </w:rPr>
        <w:t xml:space="preserve">, отнесенный к дополнительной производительности котлов </w:t>
      </w:r>
      <w:r w:rsidRPr="00126FD8">
        <w:rPr>
          <w:rFonts w:ascii="Times New Roman" w:hAnsi="Times New Roman" w:cs="Times New Roman"/>
          <w:sz w:val="28"/>
          <w:szCs w:val="28"/>
        </w:rPr>
        <w:object w:dxaOrig="480" w:dyaOrig="340">
          <v:shape id="_x0000_i1089" type="#_x0000_t75" style="width:24.2pt;height:16.95pt" o:ole="">
            <v:imagedata r:id="rId133" o:title=""/>
          </v:shape>
          <o:OLEObject Type="Embed" ProgID="Equation.3" ShapeID="_x0000_i1089" DrawAspect="Content" ObjectID="_1672939726" r:id="rId134"/>
        </w:object>
      </w:r>
      <w:r w:rsidRPr="00126FD8">
        <w:rPr>
          <w:rFonts w:ascii="Times New Roman" w:hAnsi="Times New Roman" w:cs="Times New Roman"/>
          <w:sz w:val="28"/>
          <w:szCs w:val="28"/>
        </w:rPr>
        <w:t xml:space="preserve"> и </w:t>
      </w:r>
      <w:r w:rsidRPr="00126FD8">
        <w:rPr>
          <w:rFonts w:ascii="Times New Roman" w:hAnsi="Times New Roman" w:cs="Times New Roman"/>
          <w:sz w:val="28"/>
          <w:szCs w:val="28"/>
        </w:rPr>
        <w:object w:dxaOrig="499" w:dyaOrig="340">
          <v:shape id="_x0000_i1090" type="#_x0000_t75" style="width:24.8pt;height:16.95pt" o:ole="">
            <v:imagedata r:id="rId135" o:title=""/>
          </v:shape>
          <o:OLEObject Type="Embed" ProgID="Equation.3" ShapeID="_x0000_i1090" DrawAspect="Content" ObjectID="_1672939727" r:id="rId136"/>
        </w:object>
      </w:r>
      <w:r w:rsidRPr="00126FD8">
        <w:rPr>
          <w:rFonts w:ascii="Times New Roman" w:hAnsi="Times New Roman" w:cs="Times New Roman"/>
          <w:sz w:val="28"/>
          <w:szCs w:val="28"/>
        </w:rPr>
        <w:t>, принято называть относительным приростом расхода топлива.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Если котлоагрегаты одинаковы, то у них общая характеристика </w:t>
      </w:r>
      <w:r w:rsidRPr="00126FD8">
        <w:rPr>
          <w:rFonts w:ascii="Times New Roman" w:hAnsi="Times New Roman" w:cs="Times New Roman"/>
          <w:sz w:val="28"/>
          <w:szCs w:val="28"/>
        </w:rPr>
        <w:object w:dxaOrig="999" w:dyaOrig="340">
          <v:shape id="_x0000_i1091" type="#_x0000_t75" style="width:50.2pt;height:16.95pt" o:ole="">
            <v:imagedata r:id="rId137" o:title=""/>
          </v:shape>
          <o:OLEObject Type="Embed" ProgID="Equation.3" ShapeID="_x0000_i1091" DrawAspect="Content" ObjectID="_1672939728" r:id="rId138"/>
        </w:object>
      </w:r>
      <w:r w:rsidRPr="00126FD8">
        <w:rPr>
          <w:rFonts w:ascii="Times New Roman" w:hAnsi="Times New Roman" w:cs="Times New Roman"/>
          <w:sz w:val="28"/>
          <w:szCs w:val="28"/>
        </w:rPr>
        <w:t xml:space="preserve">, т.е. для выработки одного и того же количества пара (тепловой энергии) </w:t>
      </w:r>
      <w:r w:rsidRPr="00126FD8">
        <w:rPr>
          <w:rFonts w:ascii="Times New Roman" w:hAnsi="Times New Roman" w:cs="Times New Roman"/>
          <w:sz w:val="28"/>
          <w:szCs w:val="28"/>
        </w:rPr>
        <w:object w:dxaOrig="260" w:dyaOrig="260">
          <v:shape id="_x0000_i1092" type="#_x0000_t75" style="width:12.7pt;height:12.7pt" o:ole="">
            <v:imagedata r:id="rId139" o:title=""/>
          </v:shape>
          <o:OLEObject Type="Embed" ProgID="Equation.3" ShapeID="_x0000_i1092" DrawAspect="Content" ObjectID="_1672939729" r:id="rId140"/>
        </w:object>
      </w:r>
      <w:r w:rsidRPr="00126FD8">
        <w:rPr>
          <w:rFonts w:ascii="Times New Roman" w:hAnsi="Times New Roman" w:cs="Times New Roman"/>
          <w:sz w:val="28"/>
          <w:szCs w:val="28"/>
        </w:rPr>
        <w:t xml:space="preserve"> каждым котлом потребуется одинаковый расход топлива </w:t>
      </w:r>
      <w:r w:rsidRPr="00126FD8">
        <w:rPr>
          <w:rFonts w:ascii="Times New Roman" w:hAnsi="Times New Roman" w:cs="Times New Roman"/>
          <w:sz w:val="28"/>
          <w:szCs w:val="28"/>
        </w:rPr>
        <w:object w:dxaOrig="260" w:dyaOrig="279">
          <v:shape id="_x0000_i1093" type="#_x0000_t75" style="width:12.7pt;height:13.9pt" o:ole="">
            <v:imagedata r:id="rId141" o:title=""/>
          </v:shape>
          <o:OLEObject Type="Embed" ProgID="Equation.3" ShapeID="_x0000_i1093" DrawAspect="Content" ObjectID="_1672939730" r:id="rId142"/>
        </w:object>
      </w:r>
      <w:r w:rsidRPr="00126FD8">
        <w:rPr>
          <w:rFonts w:ascii="Times New Roman" w:hAnsi="Times New Roman" w:cs="Times New Roman"/>
          <w:sz w:val="28"/>
          <w:szCs w:val="28"/>
        </w:rPr>
        <w:t xml:space="preserve">. Следовательно, между одинаковыми котлоагрегатами суммарная нагрузка должна распределяться поровну.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9. Перевод паровых котлов на водогрейный режим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Перевод паровых котлов на водогрейный режим имеет как недостатки, так и преимущества.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При переводе всех котлов паровой котельной на водогрейный режим необходима установка вакуумного деаэратора вместо атмосферного, надежность работы которого в условиях разбалансировки тепловой сети крайне низка. При низкой температуре обратной сетевой воды и отсутствующих насосах рециркуляции, как правило, не удается подогреть воду перед вакуумным деаэратором до требуемой температуры.</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При переводе котла на водогрейный режим уменьшается температура воды на вводе в котел со 105 до 70 ºС, а также увеличивается температурный напор, поскольку средняя температура теплоносителя снижается от температуры насыщения при давлении в котле (~194 ºС) до средней температуры воды в водогрейном котле (~100 ºС). Обе эти причины приводят к снижению температуры уходящих газов и, как следствие, к некоторому повышению КПД котла.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10. Оптимизация работы насосного и тягодутьевого оборудования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 xml:space="preserve">В целях обеспечения надежности, как правило, тягодутьевое оборудование устанавливается с большим запасом мощности. Это приводит к тому, что дымососы и вентиляторы работают далеко от области максимальных значений КПД. Достаточно простым и малозатратным мероприятием является замена существующего двигателя на электродвигатель с меньшим числом оборотов.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Наибольшие затраты электроэнергии в котельных приходятся на привод сетевых насосов.  При этом следует выделить следующие особенности: должна быть тщательно проанализирована гидравлика сети, в которой не должно быть участков, где скорость воды много больше 1 м/с; при качественном регулировании тепловой нагрузки сеть должна быть шайбирована, чтобы исключить перераспределение нагрузок между потребителями; характеристики насосов должны быть согласованы с характеристикой тепловой сети. И, наконец, должна быть предусмотрена возможность работы  с пониженным расходом воды в летний период, для чего обычно устанавливают дополнительные насосы. </w:t>
      </w:r>
    </w:p>
    <w:p w:rsidR="00126FD8" w:rsidRPr="00126FD8" w:rsidRDefault="00126FD8" w:rsidP="00126FD8">
      <w:pPr>
        <w:rPr>
          <w:rFonts w:ascii="Times New Roman" w:hAnsi="Times New Roman" w:cs="Times New Roman"/>
          <w:sz w:val="28"/>
          <w:szCs w:val="28"/>
        </w:rPr>
      </w:pPr>
      <w:bookmarkStart w:id="0" w:name="_Toc166391882"/>
      <w:r w:rsidRPr="00126FD8">
        <w:rPr>
          <w:rFonts w:ascii="Times New Roman" w:hAnsi="Times New Roman" w:cs="Times New Roman"/>
          <w:sz w:val="28"/>
          <w:szCs w:val="28"/>
        </w:rPr>
        <w:t xml:space="preserve"> Тепловые потери трубопроводов</w:t>
      </w:r>
      <w:bookmarkEnd w:id="0"/>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Качество изоляции трубопроводов особенно в небольших населенных пунктах не соответствует нормам. Достаточно часто встречаются протяженные участки плохо изолированных либо совсем неизолированных трубопроводов. Удельные (с единицы погонного метра) теплопотери от неизолированных труб, обусловленные конвекцией и излучением составят ql, Вт/м: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680" w:dyaOrig="380">
          <v:shape id="_x0000_i1094" type="#_x0000_t75" style="width:133.7pt;height:18.75pt" o:ole="">
            <v:imagedata r:id="rId143" o:title=""/>
          </v:shape>
          <o:OLEObject Type="Embed" ProgID="Equation.3" ShapeID="_x0000_i1094" DrawAspect="Content" ObjectID="_1672939731" r:id="rId144"/>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 xml:space="preserve">л и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к – коэффициенты теплоотдачи за счет излучения и конвекции; tт и tв – температуры теплоносителя и наружного воздуха; d – наружный диаметр трубы. Коэффициент теплоотдачи за счет излучения принимается в соответствии со СНИП равным 5 Вт/(м2</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 xml:space="preserve">К). Точно рассчитать коэффициент теплоотдачи конвекцией достаточно сложно, поскольку его величина существенно зависит от погодных условий. При отсутствии ветра коэффициент теплоотдачи может быть рассчитан по формулам для естественной конвекции [18]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к, Вт/(м2</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280" w:dyaOrig="720">
          <v:shape id="_x0000_i1095" type="#_x0000_t75" style="width:113.75pt;height:36.3pt" o:ole="">
            <v:imagedata r:id="rId145" o:title=""/>
          </v:shape>
          <o:OLEObject Type="Embed" ProgID="Equation.3" ShapeID="_x0000_i1095" DrawAspect="Content" ObjectID="_1672939732" r:id="rId146"/>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 xml:space="preserve">где Gr=gβ·(tт-tв)d3/v2 – число Грасгофа; коэффициент объемного расширения для идеальных газов рассчитывается как β=1/Tв (при температуре воздуха); g – ускорение свободного падения, Pr=v/a – число Прандтля, коэффициент кинематической вязкости и коэффициент теплопроводности рассчитывают при температуре средней между температурой поверхности и воздуха.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При наличии заметного ветра следует пользоваться выражениями для вынужденной конвекции [18]</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6340" w:dyaOrig="859">
          <v:shape id="_x0000_i1096" type="#_x0000_t75" style="width:317.05pt;height:42.95pt" o:ole="">
            <v:imagedata r:id="rId147" o:title=""/>
          </v:shape>
          <o:OLEObject Type="Embed" ProgID="Equation.3" ShapeID="_x0000_i1096" DrawAspect="Content" ObjectID="_1672939733" r:id="rId148"/>
        </w:objec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На рис. 25 приведены данные расчета удельных тепловых потерь (при естественной конвекции) неизолированных стальных труб при температурах теплоносителя 130 и 90 °С и средней температуре воздуха за отопительный период (-6,8 °С). При диаметре трубы в 300 мм и температуре теплоносителя 130 ºС с 1 км трубопровода теряется 1,5 МВт тепловой мощности.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drawing>
          <wp:inline distT="0" distB="0" distL="0" distR="0">
            <wp:extent cx="4671695" cy="2473960"/>
            <wp:effectExtent l="0" t="0" r="0" b="0"/>
            <wp:docPr id="76" name="Объект 7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9"/>
              </a:graphicData>
            </a:graphic>
          </wp:inline>
        </w:drawing>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25 -  Удельные тепловые потери от неизолированного трубопровода: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1 – температура теплоносителя 130 ºС; 2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температура теплоносителя 95 ºС</w:t>
      </w:r>
    </w:p>
    <w:p w:rsidR="00126FD8" w:rsidRPr="00126FD8" w:rsidRDefault="00126FD8" w:rsidP="00126FD8">
      <w:pPr>
        <w:rPr>
          <w:rFonts w:ascii="Times New Roman" w:hAnsi="Times New Roman" w:cs="Times New Roman"/>
          <w:sz w:val="28"/>
          <w:szCs w:val="28"/>
        </w:rPr>
      </w:pPr>
      <w:bookmarkStart w:id="1" w:name="_Toc166391883"/>
      <w:r w:rsidRPr="00126FD8">
        <w:rPr>
          <w:rFonts w:ascii="Times New Roman" w:hAnsi="Times New Roman" w:cs="Times New Roman"/>
          <w:sz w:val="28"/>
          <w:szCs w:val="28"/>
        </w:rPr>
        <w:t xml:space="preserve"> Энергосбережение в компрессорном хозяйстве</w:t>
      </w:r>
      <w:bookmarkEnd w:id="1"/>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Большой расход сжатого воздуха на промышленных предприятиях связан с его нерациональным  использованием и различного рода утечками. Значительная часть утечек, связанных с продувкой трубопроводов и влагомаслоотделителей практически неизбежна, особенно в зимнее время </w:t>
      </w:r>
      <w:r w:rsidRPr="00126FD8">
        <w:rPr>
          <w:rFonts w:ascii="Times New Roman" w:hAnsi="Times New Roman" w:cs="Times New Roman"/>
          <w:sz w:val="28"/>
          <w:szCs w:val="28"/>
        </w:rPr>
        <w:lastRenderedPageBreak/>
        <w:t>[19]. За счет продувок из трубопроводов сжатого воздуха удаляют капельную влагу, которая неизбежно появляется в воздухопроводах, если воздух после сжатия не подвергать осушке. Влага в воздухопроводах создает и еще много проблем, в частности, трубы внутри всегда мокрые. Влага и кислород сжатого воздуха создают идеальные условия для коррозии. Мало того, она скапливается в нижних точках воздухопроводов и может либо замерзнуть, либо поступить к потребителю в виде пробки, проталкиваемой воздухом.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Для того чтобы не было обводнения и засорения, магистральные трубопроводы следует укладывать с уклоном 0,003—0,005 в на</w:t>
      </w:r>
      <w:r w:rsidRPr="00126FD8">
        <w:rPr>
          <w:rFonts w:ascii="Times New Roman" w:hAnsi="Times New Roman" w:cs="Times New Roman"/>
          <w:sz w:val="28"/>
          <w:szCs w:val="28"/>
        </w:rPr>
        <w:softHyphen/>
        <w:t>правлении движения воздуха и отводы из магистрального трубо</w:t>
      </w:r>
      <w:r w:rsidRPr="00126FD8">
        <w:rPr>
          <w:rFonts w:ascii="Times New Roman" w:hAnsi="Times New Roman" w:cs="Times New Roman"/>
          <w:sz w:val="28"/>
          <w:szCs w:val="28"/>
        </w:rPr>
        <w:softHyphen/>
        <w:t xml:space="preserve">провода рекомендуется располагать сверху, что значительно уменьшает возможность попадания конденсата к потребителю. На практике прокладка воздухопровода с уклоном встречается редко, чаще всего воздухопровод прокладывают по существующим эстакадам (воды, пара, газа). При такой укладке трубопроводов возможно образование впадин, в которых происходит скопление воды, масла и грязи.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Рассчитаем потери сжатого воздуха из компрессорной сети.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Уравнение первого закона термодинамики для потока имеет вид</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3519" w:dyaOrig="400">
          <v:shape id="_x0000_i1097" type="#_x0000_t75" style="width:176.05pt;height:19.95pt" o:ole="">
            <v:imagedata r:id="rId150" o:title=""/>
          </v:shape>
          <o:OLEObject Type="Embed" ProgID="Equation.3" ShapeID="_x0000_i1097" DrawAspect="Content" ObjectID="_1672939734" r:id="rId151"/>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h2 и h1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энтальпии потока в начальном и конечном состоянии; lтехн – совершенная работа; С2 и С1 – скорости потока в начальном и конечном состоянии. В адиабатном  процессе истечения lтехн=0, q=0, тогда уравнение преобразуется к виду [20]:</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420" w:dyaOrig="400">
          <v:shape id="_x0000_i1098" type="#_x0000_t75" style="width:121pt;height:19.95pt" o:ole="">
            <v:imagedata r:id="rId152" o:title=""/>
          </v:shape>
          <o:OLEObject Type="Embed" ProgID="Equation.3" ShapeID="_x0000_i1098" DrawAspect="Content" ObjectID="_1672939735" r:id="rId153"/>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Пусть истечение происходит из большого объема, тогда  начальная скорость потока равна нулю (С1=0), а скорость истечения определится выражением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840" w:dyaOrig="460">
          <v:shape id="_x0000_i1099" type="#_x0000_t75" style="width:142.2pt;height:23pt" o:ole="">
            <v:imagedata r:id="rId154" o:title=""/>
          </v:shape>
          <o:OLEObject Type="Embed" ProgID="Equation.3" ShapeID="_x0000_i1099" DrawAspect="Content" ObjectID="_1672939736" r:id="rId155"/>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Изменение энтальпии можно выразить через изменение внутренней энергии и произведения давления на удельный объем: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519" w:dyaOrig="380">
          <v:shape id="_x0000_i1100" type="#_x0000_t75" style="width:176.05pt;height:18.75pt" o:ole="">
            <v:imagedata r:id="rId156" o:title=""/>
          </v:shape>
          <o:OLEObject Type="Embed" ProgID="Equation.3" ShapeID="_x0000_i1100" DrawAspect="Content" ObjectID="_1672939737" r:id="rId157"/>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Для адиабатного процесса истечения (q = 0) уравнение первого закона термодинамики можно записать в виде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200" w:dyaOrig="380">
          <v:shape id="_x0000_i1101" type="#_x0000_t75" style="width:110.1pt;height:18.75pt" o:ole="">
            <v:imagedata r:id="rId158" o:title=""/>
          </v:shape>
          <o:OLEObject Type="Embed" ProgID="Equation.3" ShapeID="_x0000_i1101" DrawAspect="Content" ObjectID="_1672939738" r:id="rId159"/>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Работа адиабатного процесса: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1540" w:dyaOrig="380">
          <v:shape id="_x0000_i1102" type="#_x0000_t75" style="width:76.85pt;height:18.75pt" o:ole="">
            <v:imagedata r:id="rId160" o:title=""/>
          </v:shape>
          <o:OLEObject Type="Embed" ProgID="Equation.3" ShapeID="_x0000_i1102" DrawAspect="Content" ObjectID="_1672939739" r:id="rId161"/>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Подставляя значение теплоемкости при постоянном объеме </w:t>
      </w:r>
      <w:r w:rsidRPr="00126FD8">
        <w:rPr>
          <w:rFonts w:ascii="Times New Roman" w:hAnsi="Times New Roman" w:cs="Times New Roman"/>
          <w:sz w:val="28"/>
          <w:szCs w:val="28"/>
        </w:rPr>
        <w:object w:dxaOrig="1140" w:dyaOrig="720">
          <v:shape id="_x0000_i1103" type="#_x0000_t75" style="width:56.85pt;height:36.3pt" o:ole="">
            <v:imagedata r:id="rId162" o:title=""/>
          </v:shape>
          <o:OLEObject Type="Embed" ProgID="Equation.3" ShapeID="_x0000_i1103" DrawAspect="Content" ObjectID="_1672939740" r:id="rId163"/>
        </w:object>
      </w:r>
      <w:r w:rsidRPr="00126FD8">
        <w:rPr>
          <w:rFonts w:ascii="Times New Roman" w:hAnsi="Times New Roman" w:cs="Times New Roman"/>
          <w:sz w:val="28"/>
          <w:szCs w:val="28"/>
        </w:rPr>
        <w:t xml:space="preserve"> в выражение для технической работы, получим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4080" w:dyaOrig="720">
          <v:shape id="_x0000_i1104" type="#_x0000_t75" style="width:203.9pt;height:36.3pt" o:ole="">
            <v:imagedata r:id="rId164" o:title=""/>
          </v:shape>
          <o:OLEObject Type="Embed" ProgID="Equation.3" ShapeID="_x0000_i1104" DrawAspect="Content" ObjectID="_1672939741" r:id="rId165"/>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Подставляя выражение для работы в выражение для изменения энтальпии, получим: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9260" w:dyaOrig="859">
          <v:shape id="_x0000_i1105" type="#_x0000_t75" style="width:462.85pt;height:42.95pt" o:ole="">
            <v:imagedata r:id="rId166" o:title=""/>
          </v:shape>
          <o:OLEObject Type="Embed" ProgID="Equation.3" ShapeID="_x0000_i1105" DrawAspect="Content" ObjectID="_1672939742" r:id="rId167"/>
        </w:object>
      </w:r>
      <w:r w:rsidRPr="00126FD8">
        <w:rPr>
          <w:rFonts w:ascii="Times New Roman" w:hAnsi="Times New Roman" w:cs="Times New Roman"/>
          <w:sz w:val="28"/>
          <w:szCs w:val="28"/>
        </w:rPr>
        <w:t xml:space="preserve">. В адиабатном процессе </w:t>
      </w:r>
      <w:r w:rsidRPr="00126FD8">
        <w:rPr>
          <w:rFonts w:ascii="Times New Roman" w:hAnsi="Times New Roman" w:cs="Times New Roman"/>
          <w:sz w:val="28"/>
          <w:szCs w:val="28"/>
        </w:rPr>
        <w:object w:dxaOrig="1460" w:dyaOrig="340">
          <v:shape id="_x0000_i1106" type="#_x0000_t75" style="width:73.2pt;height:16.95pt" o:ole="">
            <v:imagedata r:id="rId168" o:title=""/>
          </v:shape>
          <o:OLEObject Type="Embed" ProgID="Equation.3" ShapeID="_x0000_i1106" DrawAspect="Content" ObjectID="_1672939743" r:id="rId169"/>
        </w:object>
      </w:r>
      <w:r w:rsidRPr="00126FD8">
        <w:rPr>
          <w:rFonts w:ascii="Times New Roman" w:hAnsi="Times New Roman" w:cs="Times New Roman"/>
          <w:sz w:val="28"/>
          <w:szCs w:val="28"/>
        </w:rPr>
        <w:t xml:space="preserve">, отсюда  </w:t>
      </w:r>
      <w:r w:rsidRPr="00126FD8">
        <w:rPr>
          <w:rFonts w:ascii="Times New Roman" w:hAnsi="Times New Roman" w:cs="Times New Roman"/>
          <w:sz w:val="28"/>
          <w:szCs w:val="28"/>
        </w:rPr>
        <w:object w:dxaOrig="3200" w:dyaOrig="920">
          <v:shape id="_x0000_i1107" type="#_x0000_t75" style="width:159.75pt;height:46pt" o:ole="">
            <v:imagedata r:id="rId170" o:title=""/>
          </v:shape>
          <o:OLEObject Type="Embed" ProgID="Equation.3" ShapeID="_x0000_i1107" DrawAspect="Content" ObjectID="_1672939744" r:id="rId171"/>
        </w:object>
      </w:r>
      <w:r w:rsidRPr="00126FD8">
        <w:rPr>
          <w:rFonts w:ascii="Times New Roman" w:hAnsi="Times New Roman" w:cs="Times New Roman"/>
          <w:sz w:val="28"/>
          <w:szCs w:val="28"/>
        </w:rPr>
        <w:t>, тогда комплекс в скобках в выражении для изменения энтальпии приобретет вид</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2160" w:dyaOrig="999">
          <v:shape id="_x0000_i1108" type="#_x0000_t75" style="width:108.3pt;height:50.2pt" o:ole="">
            <v:imagedata r:id="rId172" o:title=""/>
          </v:shape>
          <o:OLEObject Type="Embed" ProgID="Equation.3" ShapeID="_x0000_i1108" DrawAspect="Content" ObjectID="_1672939745" r:id="rId173"/>
        </w:object>
      </w:r>
      <w:r w:rsidRPr="00126FD8">
        <w:rPr>
          <w:rFonts w:ascii="Times New Roman" w:hAnsi="Times New Roman" w:cs="Times New Roman"/>
          <w:sz w:val="28"/>
          <w:szCs w:val="28"/>
        </w:rPr>
        <w:t>, а выражение для изменения энтальпии в окончательном виде можно записать как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440" w:dyaOrig="1180">
          <v:shape id="_x0000_i1109" type="#_x0000_t75" style="width:171.85pt;height:59.3pt" o:ole="">
            <v:imagedata r:id="rId174" o:title=""/>
          </v:shape>
          <o:OLEObject Type="Embed" ProgID="Equation.3" ShapeID="_x0000_i1109" DrawAspect="Content" ObjectID="_1672939746" r:id="rId175"/>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Скорость истечения при этом определится выражением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300" w:dyaOrig="1240">
          <v:shape id="_x0000_i1110" type="#_x0000_t75" style="width:165.2pt;height:61.7pt" o:ole="">
            <v:imagedata r:id="rId176" o:title=""/>
          </v:shape>
          <o:OLEObject Type="Embed" ProgID="Equation.3" ShapeID="_x0000_i1110" DrawAspect="Content" ObjectID="_1672939747" r:id="rId177"/>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 xml:space="preserve">Массовый расход газа m через сопло </w:t>
      </w:r>
      <w:r w:rsidRPr="00126FD8">
        <w:rPr>
          <w:rFonts w:ascii="Times New Roman" w:hAnsi="Times New Roman" w:cs="Times New Roman"/>
          <w:sz w:val="28"/>
          <w:szCs w:val="28"/>
        </w:rPr>
        <w:object w:dxaOrig="1600" w:dyaOrig="380">
          <v:shape id="_x0000_i1111" type="#_x0000_t75" style="width:79.85pt;height:18.75pt" o:ole="">
            <v:imagedata r:id="rId178" o:title=""/>
          </v:shape>
          <o:OLEObject Type="Embed" ProgID="Equation.3" ShapeID="_x0000_i1111" DrawAspect="Content" ObjectID="_1672939748" r:id="rId179"/>
        </w:object>
      </w:r>
      <w:r w:rsidRPr="00126FD8">
        <w:rPr>
          <w:rFonts w:ascii="Times New Roman" w:hAnsi="Times New Roman" w:cs="Times New Roman"/>
          <w:sz w:val="28"/>
          <w:szCs w:val="28"/>
        </w:rPr>
        <w:t>, или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460" w:dyaOrig="1240">
          <v:shape id="_x0000_i1112" type="#_x0000_t75" style="width:173.05pt;height:61.7pt" o:ole="">
            <v:imagedata r:id="rId180" o:title=""/>
          </v:shape>
          <o:OLEObject Type="Embed" ProgID="Equation.3" ShapeID="_x0000_i1112" DrawAspect="Content" ObjectID="_1672939749" r:id="rId181"/>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выражая удельный объем из уравнения адиабаты как  </w:t>
      </w:r>
      <w:r w:rsidRPr="00126FD8">
        <w:rPr>
          <w:rFonts w:ascii="Times New Roman" w:hAnsi="Times New Roman" w:cs="Times New Roman"/>
          <w:sz w:val="28"/>
          <w:szCs w:val="28"/>
        </w:rPr>
        <w:object w:dxaOrig="1620" w:dyaOrig="900">
          <v:shape id="_x0000_i1113" type="#_x0000_t75" style="width:81.1pt;height:44.75pt" o:ole="">
            <v:imagedata r:id="rId182" o:title=""/>
          </v:shape>
          <o:OLEObject Type="Embed" ProgID="Equation.3" ShapeID="_x0000_i1113" DrawAspect="Content" ObjectID="_1672939750" r:id="rId183"/>
        </w:object>
      </w:r>
      <w:r w:rsidRPr="00126FD8">
        <w:rPr>
          <w:rFonts w:ascii="Times New Roman" w:hAnsi="Times New Roman" w:cs="Times New Roman"/>
          <w:sz w:val="28"/>
          <w:szCs w:val="28"/>
        </w:rPr>
        <w:t xml:space="preserve"> или </w:t>
      </w:r>
      <w:r w:rsidRPr="00126FD8">
        <w:rPr>
          <w:rFonts w:ascii="Times New Roman" w:hAnsi="Times New Roman" w:cs="Times New Roman"/>
          <w:sz w:val="28"/>
          <w:szCs w:val="28"/>
        </w:rPr>
        <w:object w:dxaOrig="1719" w:dyaOrig="900">
          <v:shape id="_x0000_i1114" type="#_x0000_t75" style="width:85.9pt;height:44.75pt" o:ole="">
            <v:imagedata r:id="rId184" o:title=""/>
          </v:shape>
          <o:OLEObject Type="Embed" ProgID="Equation.3" ShapeID="_x0000_i1114" DrawAspect="Content" ObjectID="_1672939751" r:id="rId185"/>
        </w:object>
      </w:r>
      <w:r w:rsidRPr="00126FD8">
        <w:rPr>
          <w:rFonts w:ascii="Times New Roman" w:hAnsi="Times New Roman" w:cs="Times New Roman"/>
          <w:sz w:val="28"/>
          <w:szCs w:val="28"/>
        </w:rPr>
        <w:t xml:space="preserve"> и, подставляя в выражения для массового расхода, получим: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4480" w:dyaOrig="1240">
          <v:shape id="_x0000_i1115" type="#_x0000_t75" style="width:223.85pt;height:61.7pt" o:ole="">
            <v:imagedata r:id="rId186" o:title=""/>
          </v:shape>
          <o:OLEObject Type="Embed" ProgID="Equation.3" ShapeID="_x0000_i1115" DrawAspect="Content" ObjectID="_1672939752" r:id="rId187"/>
        </w:object>
      </w:r>
      <w:r w:rsidRPr="00126FD8">
        <w:rPr>
          <w:rFonts w:ascii="Times New Roman" w:hAnsi="Times New Roman" w:cs="Times New Roman"/>
          <w:sz w:val="28"/>
          <w:szCs w:val="28"/>
        </w:rPr>
        <w:object w:dxaOrig="3500" w:dyaOrig="1240">
          <v:shape id="_x0000_i1116" type="#_x0000_t75" style="width:174.85pt;height:61.7pt" o:ole="">
            <v:imagedata r:id="rId188" o:title=""/>
          </v:shape>
          <o:OLEObject Type="Embed" ProgID="Equation.3" ShapeID="_x0000_i1116" DrawAspect="Content" ObjectID="_1672939753" r:id="rId189"/>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Из выражения следует, что массовый расход идеального газа при истечении зависит от площади выходного сечения, свойств и начальных параметров газа и степени его расширения </w:t>
      </w:r>
      <w:r w:rsidRPr="00126FD8">
        <w:rPr>
          <w:rFonts w:ascii="Times New Roman" w:hAnsi="Times New Roman" w:cs="Times New Roman"/>
          <w:sz w:val="28"/>
          <w:szCs w:val="28"/>
        </w:rPr>
        <w:object w:dxaOrig="1840" w:dyaOrig="380">
          <v:shape id="_x0000_i1117" type="#_x0000_t75" style="width:91.95pt;height:18.75pt" o:ole="">
            <v:imagedata r:id="rId190" o:title=""/>
          </v:shape>
          <o:OLEObject Type="Embed" ProgID="Equation.3" ShapeID="_x0000_i1117" DrawAspect="Content" ObjectID="_1672939754" r:id="rId191"/>
        </w:object>
      </w:r>
      <w:r w:rsidRPr="00126FD8">
        <w:rPr>
          <w:rFonts w:ascii="Times New Roman" w:hAnsi="Times New Roman" w:cs="Times New Roman"/>
          <w:sz w:val="28"/>
          <w:szCs w:val="28"/>
        </w:rPr>
        <w:t xml:space="preserve">. При </w:t>
      </w:r>
      <w:r w:rsidRPr="00126FD8">
        <w:rPr>
          <w:rFonts w:ascii="Times New Roman" w:hAnsi="Times New Roman" w:cs="Times New Roman"/>
          <w:sz w:val="28"/>
          <w:szCs w:val="28"/>
        </w:rPr>
        <w:object w:dxaOrig="800" w:dyaOrig="380">
          <v:shape id="_x0000_i1118" type="#_x0000_t75" style="width:39.95pt;height:18.75pt" o:ole="">
            <v:imagedata r:id="rId192" o:title=""/>
          </v:shape>
          <o:OLEObject Type="Embed" ProgID="Equation.3" ShapeID="_x0000_i1118" DrawAspect="Content" ObjectID="_1672939755" r:id="rId193"/>
        </w:object>
      </w:r>
      <w:r w:rsidRPr="00126FD8">
        <w:rPr>
          <w:rFonts w:ascii="Times New Roman" w:hAnsi="Times New Roman" w:cs="Times New Roman"/>
          <w:sz w:val="28"/>
          <w:szCs w:val="28"/>
        </w:rPr>
        <w:t xml:space="preserve"> расход, естественно, равен нулю (</w:t>
      </w:r>
      <w:r w:rsidRPr="00126FD8">
        <w:rPr>
          <w:rFonts w:ascii="Times New Roman" w:hAnsi="Times New Roman" w:cs="Times New Roman"/>
          <w:sz w:val="28"/>
          <w:szCs w:val="28"/>
        </w:rPr>
        <w:object w:dxaOrig="700" w:dyaOrig="300">
          <v:shape id="_x0000_i1119" type="#_x0000_t75" style="width:35.1pt;height:15.15pt" o:ole="">
            <v:imagedata r:id="rId194" o:title=""/>
          </v:shape>
          <o:OLEObject Type="Embed" ProgID="Equation.3" ShapeID="_x0000_i1119" DrawAspect="Content" ObjectID="_1672939756" r:id="rId195"/>
        </w:object>
      </w:r>
      <w:r w:rsidRPr="00126FD8">
        <w:rPr>
          <w:rFonts w:ascii="Times New Roman" w:hAnsi="Times New Roman" w:cs="Times New Roman"/>
          <w:sz w:val="28"/>
          <w:szCs w:val="28"/>
        </w:rPr>
        <w:t xml:space="preserve">). С уменьшением давления среды P2 расход газа увеличивается и достигает максимального значения при </w:t>
      </w:r>
      <w:r w:rsidRPr="00126FD8">
        <w:rPr>
          <w:rFonts w:ascii="Times New Roman" w:hAnsi="Times New Roman" w:cs="Times New Roman"/>
          <w:sz w:val="28"/>
          <w:szCs w:val="28"/>
        </w:rPr>
        <w:object w:dxaOrig="1300" w:dyaOrig="420">
          <v:shape id="_x0000_i1120" type="#_x0000_t75" style="width:64.75pt;height:21.2pt" o:ole="">
            <v:imagedata r:id="rId196" o:title=""/>
          </v:shape>
          <o:OLEObject Type="Embed" ProgID="Equation.3" ShapeID="_x0000_i1120" DrawAspect="Content" ObjectID="_1672939757" r:id="rId197"/>
        </w:object>
      </w:r>
      <w:r w:rsidRPr="00126FD8">
        <w:rPr>
          <w:rFonts w:ascii="Times New Roman" w:hAnsi="Times New Roman" w:cs="Times New Roman"/>
          <w:sz w:val="28"/>
          <w:szCs w:val="28"/>
        </w:rPr>
        <w:t xml:space="preserve">. При дальнейшем уменьшении отношения </w:t>
      </w:r>
      <w:r w:rsidRPr="00126FD8">
        <w:rPr>
          <w:rFonts w:ascii="Times New Roman" w:hAnsi="Times New Roman" w:cs="Times New Roman"/>
          <w:sz w:val="28"/>
          <w:szCs w:val="28"/>
        </w:rPr>
        <w:object w:dxaOrig="680" w:dyaOrig="380">
          <v:shape id="_x0000_i1121" type="#_x0000_t75" style="width:33.9pt;height:18.75pt" o:ole="">
            <v:imagedata r:id="rId198" o:title=""/>
          </v:shape>
          <o:OLEObject Type="Embed" ProgID="Equation.3" ShapeID="_x0000_i1121" DrawAspect="Content" ObjectID="_1672939758" r:id="rId199"/>
        </w:object>
      </w:r>
      <w:r w:rsidRPr="00126FD8">
        <w:rPr>
          <w:rFonts w:ascii="Times New Roman" w:hAnsi="Times New Roman" w:cs="Times New Roman"/>
          <w:sz w:val="28"/>
          <w:szCs w:val="28"/>
        </w:rPr>
        <w:t xml:space="preserve"> значение m, рассчитанное по выражению (206), убывает и при </w:t>
      </w:r>
      <w:r w:rsidRPr="00126FD8">
        <w:rPr>
          <w:rFonts w:ascii="Times New Roman" w:hAnsi="Times New Roman" w:cs="Times New Roman"/>
          <w:sz w:val="28"/>
          <w:szCs w:val="28"/>
        </w:rPr>
        <w:object w:dxaOrig="1140" w:dyaOrig="380">
          <v:shape id="_x0000_i1122" type="#_x0000_t75" style="width:56.85pt;height:18.75pt" o:ole="">
            <v:imagedata r:id="rId200" o:title=""/>
          </v:shape>
          <o:OLEObject Type="Embed" ProgID="Equation.3" ShapeID="_x0000_i1122" DrawAspect="Content" ObjectID="_1672939759" r:id="rId201"/>
        </w:object>
      </w:r>
      <w:r w:rsidRPr="00126FD8">
        <w:rPr>
          <w:rFonts w:ascii="Times New Roman" w:hAnsi="Times New Roman" w:cs="Times New Roman"/>
          <w:sz w:val="28"/>
          <w:szCs w:val="28"/>
        </w:rPr>
        <w:t xml:space="preserve"> становится равным нулю. Эксперимент показывает, что на самом деле при достижении  критического значения отношения давлений дальнейшее уменьшение </w:t>
      </w:r>
      <w:r w:rsidRPr="00126FD8">
        <w:rPr>
          <w:rFonts w:ascii="Times New Roman" w:hAnsi="Times New Roman" w:cs="Times New Roman"/>
          <w:sz w:val="28"/>
          <w:szCs w:val="28"/>
        </w:rPr>
        <w:object w:dxaOrig="680" w:dyaOrig="380">
          <v:shape id="_x0000_i1123" type="#_x0000_t75" style="width:33.9pt;height:18.75pt" o:ole="">
            <v:imagedata r:id="rId198" o:title=""/>
          </v:shape>
          <o:OLEObject Type="Embed" ProgID="Equation.3" ShapeID="_x0000_i1123" DrawAspect="Content" ObjectID="_1672939760" r:id="rId202"/>
        </w:object>
      </w:r>
      <w:r w:rsidRPr="00126FD8">
        <w:rPr>
          <w:rFonts w:ascii="Times New Roman" w:hAnsi="Times New Roman" w:cs="Times New Roman"/>
          <w:sz w:val="28"/>
          <w:szCs w:val="28"/>
        </w:rPr>
        <w:t xml:space="preserve"> не влияет на массовый расход, который в дальнейшем остается постоянным.  Для отыскания максимума функции возьмем первую производную от выражения в квадратных скобках и приравняем ее нулю.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6420" w:dyaOrig="1260">
          <v:shape id="_x0000_i1124" type="#_x0000_t75" style="width:321.3pt;height:62.9pt" o:ole="">
            <v:imagedata r:id="rId203" o:title=""/>
          </v:shape>
          <o:OLEObject Type="Embed" ProgID="Equation.3" ShapeID="_x0000_i1124" DrawAspect="Content" ObjectID="_1672939761" r:id="rId204"/>
        </w:object>
      </w:r>
      <w:r w:rsidRPr="00126FD8">
        <w:rPr>
          <w:rFonts w:ascii="Times New Roman" w:hAnsi="Times New Roman" w:cs="Times New Roman"/>
          <w:sz w:val="28"/>
          <w:szCs w:val="28"/>
        </w:rPr>
        <w:object w:dxaOrig="6900" w:dyaOrig="1180">
          <v:shape id="_x0000_i1125" type="#_x0000_t75" style="width:344.85pt;height:59.3pt" o:ole="">
            <v:imagedata r:id="rId205" o:title=""/>
          </v:shape>
          <o:OLEObject Type="Embed" ProgID="Equation.3" ShapeID="_x0000_i1125" DrawAspect="Content" ObjectID="_1672939762" r:id="rId206"/>
        </w:object>
      </w:r>
      <w:r w:rsidRPr="00126FD8">
        <w:rPr>
          <w:rFonts w:ascii="Times New Roman" w:hAnsi="Times New Roman" w:cs="Times New Roman"/>
          <w:sz w:val="28"/>
          <w:szCs w:val="28"/>
        </w:rPr>
        <w:t xml:space="preserve">. Отсюда следует, </w:t>
      </w:r>
      <w:r w:rsidRPr="00126FD8">
        <w:rPr>
          <w:rFonts w:ascii="Times New Roman" w:hAnsi="Times New Roman" w:cs="Times New Roman"/>
          <w:sz w:val="28"/>
          <w:szCs w:val="28"/>
        </w:rPr>
        <w:lastRenderedPageBreak/>
        <w:t xml:space="preserve">что </w:t>
      </w:r>
      <w:r w:rsidRPr="00126FD8">
        <w:rPr>
          <w:rFonts w:ascii="Times New Roman" w:hAnsi="Times New Roman" w:cs="Times New Roman"/>
          <w:sz w:val="28"/>
          <w:szCs w:val="28"/>
        </w:rPr>
        <w:object w:dxaOrig="1820" w:dyaOrig="999">
          <v:shape id="_x0000_i1126" type="#_x0000_t75" style="width:90.75pt;height:50.2pt" o:ole="">
            <v:imagedata r:id="rId207" o:title=""/>
          </v:shape>
          <o:OLEObject Type="Embed" ProgID="Equation.3" ShapeID="_x0000_i1126" DrawAspect="Content" ObjectID="_1672939763" r:id="rId208"/>
        </w:object>
      </w:r>
      <w:r w:rsidRPr="00126FD8">
        <w:rPr>
          <w:rFonts w:ascii="Times New Roman" w:hAnsi="Times New Roman" w:cs="Times New Roman"/>
          <w:sz w:val="28"/>
          <w:szCs w:val="28"/>
        </w:rPr>
        <w:t xml:space="preserve">, или </w:t>
      </w:r>
      <w:r w:rsidRPr="00126FD8">
        <w:rPr>
          <w:rFonts w:ascii="Times New Roman" w:hAnsi="Times New Roman" w:cs="Times New Roman"/>
          <w:sz w:val="28"/>
          <w:szCs w:val="28"/>
        </w:rPr>
        <w:object w:dxaOrig="2340" w:dyaOrig="940">
          <v:shape id="_x0000_i1127" type="#_x0000_t75" style="width:116.75pt;height:47.2pt" o:ole="">
            <v:imagedata r:id="rId209" o:title=""/>
          </v:shape>
          <o:OLEObject Type="Embed" ProgID="Equation.3" ShapeID="_x0000_i1127" DrawAspect="Content" ObjectID="_1672939764" r:id="rId210"/>
        </w:object>
      </w:r>
      <w:r w:rsidRPr="00126FD8">
        <w:rPr>
          <w:rFonts w:ascii="Times New Roman" w:hAnsi="Times New Roman" w:cs="Times New Roman"/>
          <w:sz w:val="28"/>
          <w:szCs w:val="28"/>
        </w:rPr>
        <w:t>. Таким образом, отношение критического давления на выходе к давлению перед соплом имеет постоянное значение и зависит только от показателя адиабаты.</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Атомность газа… .1</w:t>
      </w:r>
      <w:r w:rsidRPr="00126FD8">
        <w:rPr>
          <w:rFonts w:ascii="Times New Roman" w:hAnsi="Times New Roman" w:cs="Times New Roman"/>
          <w:sz w:val="28"/>
          <w:szCs w:val="28"/>
        </w:rPr>
        <w:tab/>
      </w:r>
      <w:r w:rsidRPr="00126FD8">
        <w:rPr>
          <w:rFonts w:ascii="Times New Roman" w:hAnsi="Times New Roman" w:cs="Times New Roman"/>
          <w:sz w:val="28"/>
          <w:szCs w:val="28"/>
        </w:rPr>
        <w:tab/>
        <w:t>2</w:t>
      </w:r>
      <w:r w:rsidRPr="00126FD8">
        <w:rPr>
          <w:rFonts w:ascii="Times New Roman" w:hAnsi="Times New Roman" w:cs="Times New Roman"/>
          <w:sz w:val="28"/>
          <w:szCs w:val="28"/>
        </w:rPr>
        <w:tab/>
      </w:r>
      <w:r w:rsidRPr="00126FD8">
        <w:rPr>
          <w:rFonts w:ascii="Times New Roman" w:hAnsi="Times New Roman" w:cs="Times New Roman"/>
          <w:sz w:val="28"/>
          <w:szCs w:val="28"/>
        </w:rPr>
        <w:tab/>
        <w:t>3</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k………….……….1,66</w:t>
      </w:r>
      <w:r w:rsidRPr="00126FD8">
        <w:rPr>
          <w:rFonts w:ascii="Times New Roman" w:hAnsi="Times New Roman" w:cs="Times New Roman"/>
          <w:sz w:val="28"/>
          <w:szCs w:val="28"/>
        </w:rPr>
        <w:tab/>
      </w:r>
      <w:r w:rsidRPr="00126FD8">
        <w:rPr>
          <w:rFonts w:ascii="Times New Roman" w:hAnsi="Times New Roman" w:cs="Times New Roman"/>
          <w:sz w:val="28"/>
          <w:szCs w:val="28"/>
        </w:rPr>
        <w:tab/>
        <w:t>1,4</w:t>
      </w:r>
      <w:r w:rsidRPr="00126FD8">
        <w:rPr>
          <w:rFonts w:ascii="Times New Roman" w:hAnsi="Times New Roman" w:cs="Times New Roman"/>
          <w:sz w:val="28"/>
          <w:szCs w:val="28"/>
        </w:rPr>
        <w:tab/>
      </w:r>
      <w:r w:rsidRPr="00126FD8">
        <w:rPr>
          <w:rFonts w:ascii="Times New Roman" w:hAnsi="Times New Roman" w:cs="Times New Roman"/>
          <w:sz w:val="28"/>
          <w:szCs w:val="28"/>
        </w:rPr>
        <w:tab/>
        <w:t>1,3</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380" w:dyaOrig="380">
          <v:shape id="_x0000_i1128" type="#_x0000_t75" style="width:18.75pt;height:18.75pt" o:ole="">
            <v:imagedata r:id="rId211" o:title=""/>
          </v:shape>
          <o:OLEObject Type="Embed" ProgID="Equation.3" ShapeID="_x0000_i1128" DrawAspect="Content" ObjectID="_1672939765" r:id="rId212"/>
        </w:object>
      </w:r>
      <w:r w:rsidRPr="00126FD8">
        <w:rPr>
          <w:rFonts w:ascii="Times New Roman" w:hAnsi="Times New Roman" w:cs="Times New Roman"/>
          <w:sz w:val="28"/>
          <w:szCs w:val="28"/>
        </w:rPr>
        <w:t>………………..0,49</w:t>
      </w:r>
      <w:r w:rsidRPr="00126FD8">
        <w:rPr>
          <w:rFonts w:ascii="Times New Roman" w:hAnsi="Times New Roman" w:cs="Times New Roman"/>
          <w:sz w:val="28"/>
          <w:szCs w:val="28"/>
        </w:rPr>
        <w:tab/>
      </w:r>
      <w:r w:rsidRPr="00126FD8">
        <w:rPr>
          <w:rFonts w:ascii="Times New Roman" w:hAnsi="Times New Roman" w:cs="Times New Roman"/>
          <w:sz w:val="28"/>
          <w:szCs w:val="28"/>
        </w:rPr>
        <w:tab/>
        <w:t>0,528</w:t>
      </w:r>
      <w:r w:rsidRPr="00126FD8">
        <w:rPr>
          <w:rFonts w:ascii="Times New Roman" w:hAnsi="Times New Roman" w:cs="Times New Roman"/>
          <w:sz w:val="28"/>
          <w:szCs w:val="28"/>
        </w:rPr>
        <w:tab/>
      </w:r>
      <w:r w:rsidRPr="00126FD8">
        <w:rPr>
          <w:rFonts w:ascii="Times New Roman" w:hAnsi="Times New Roman" w:cs="Times New Roman"/>
          <w:sz w:val="28"/>
          <w:szCs w:val="28"/>
        </w:rPr>
        <w:tab/>
        <w:t>0,546</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Критическая скорость истечения устанавливается в устье при истечении в среду с давлением, равным или ниже критического. Ее можно определить, подставив в уравнение для скорости </w:t>
      </w:r>
      <w:r w:rsidRPr="00126FD8">
        <w:rPr>
          <w:rFonts w:ascii="Times New Roman" w:hAnsi="Times New Roman" w:cs="Times New Roman"/>
          <w:sz w:val="28"/>
          <w:szCs w:val="28"/>
        </w:rPr>
        <w:tab/>
      </w:r>
      <w:r w:rsidRPr="00126FD8">
        <w:rPr>
          <w:rFonts w:ascii="Times New Roman" w:hAnsi="Times New Roman" w:cs="Times New Roman"/>
          <w:sz w:val="28"/>
          <w:szCs w:val="28"/>
        </w:rPr>
        <w:object w:dxaOrig="3320" w:dyaOrig="1240">
          <v:shape id="_x0000_i1129" type="#_x0000_t75" style="width:165.8pt;height:61.7pt" o:ole="">
            <v:imagedata r:id="rId213" o:title=""/>
          </v:shape>
          <o:OLEObject Type="Embed" ProgID="Equation.3" ShapeID="_x0000_i1129" DrawAspect="Content" ObjectID="_1672939766" r:id="rId214"/>
        </w:object>
      </w:r>
      <w:r w:rsidRPr="00126FD8">
        <w:rPr>
          <w:rFonts w:ascii="Times New Roman" w:hAnsi="Times New Roman" w:cs="Times New Roman"/>
          <w:sz w:val="28"/>
          <w:szCs w:val="28"/>
        </w:rPr>
        <w:tab/>
        <w:t xml:space="preserve">вместо отношения давлений значение </w:t>
      </w:r>
      <w:r w:rsidRPr="00126FD8">
        <w:rPr>
          <w:rFonts w:ascii="Times New Roman" w:hAnsi="Times New Roman" w:cs="Times New Roman"/>
          <w:sz w:val="28"/>
          <w:szCs w:val="28"/>
        </w:rPr>
        <w:object w:dxaOrig="3500" w:dyaOrig="900">
          <v:shape id="_x0000_i1130" type="#_x0000_t75" style="width:174.85pt;height:44.75pt" o:ole="">
            <v:imagedata r:id="rId215" o:title=""/>
          </v:shape>
          <o:OLEObject Type="Embed" ProgID="Equation.3" ShapeID="_x0000_i1130" DrawAspect="Content" ObjectID="_1672939767" r:id="rId216"/>
        </w:object>
      </w:r>
      <w:r w:rsidRPr="00126FD8">
        <w:rPr>
          <w:rFonts w:ascii="Times New Roman" w:hAnsi="Times New Roman" w:cs="Times New Roman"/>
          <w:sz w:val="28"/>
          <w:szCs w:val="28"/>
        </w:rPr>
        <w:t>, тогда получим выражение  для скорости истечения в виде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6619" w:dyaOrig="840">
          <v:shape id="_x0000_i1131" type="#_x0000_t75" style="width:330.95pt;height:41.75pt" o:ole="">
            <v:imagedata r:id="rId217" o:title=""/>
          </v:shape>
          <o:OLEObject Type="Embed" ProgID="Equation.3" ShapeID="_x0000_i1131" DrawAspect="Content" ObjectID="_1672939768" r:id="rId218"/>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Как следует из выражения (202), величина критической скорости газов определяется физическими свойствами и начальными параметрами газа. В выражение для массового расхода </w:t>
      </w:r>
      <w:r w:rsidRPr="00126FD8">
        <w:rPr>
          <w:rFonts w:ascii="Times New Roman" w:hAnsi="Times New Roman" w:cs="Times New Roman"/>
          <w:sz w:val="28"/>
          <w:szCs w:val="28"/>
        </w:rPr>
        <w:object w:dxaOrig="3140" w:dyaOrig="840">
          <v:shape id="_x0000_i1132" type="#_x0000_t75" style="width:156.7pt;height:41.75pt" o:ole="">
            <v:imagedata r:id="rId219" o:title=""/>
          </v:shape>
          <o:OLEObject Type="Embed" ProgID="Equation.3" ShapeID="_x0000_i1132" DrawAspect="Content" ObjectID="_1672939769" r:id="rId220"/>
        </w:object>
      </w:r>
      <w:r w:rsidRPr="00126FD8">
        <w:rPr>
          <w:rFonts w:ascii="Times New Roman" w:hAnsi="Times New Roman" w:cs="Times New Roman"/>
          <w:sz w:val="28"/>
          <w:szCs w:val="28"/>
        </w:rPr>
        <w:t xml:space="preserve"> входит удельный объем при  критическом давлении, который может быть выражен из уравнения состояния </w:t>
      </w:r>
      <w:r w:rsidRPr="00126FD8">
        <w:rPr>
          <w:rFonts w:ascii="Times New Roman" w:hAnsi="Times New Roman" w:cs="Times New Roman"/>
          <w:sz w:val="28"/>
          <w:szCs w:val="28"/>
        </w:rPr>
        <w:object w:dxaOrig="1320" w:dyaOrig="420">
          <v:shape id="_x0000_i1133" type="#_x0000_t75" style="width:65.95pt;height:21.2pt" o:ole="">
            <v:imagedata r:id="rId221" o:title=""/>
          </v:shape>
          <o:OLEObject Type="Embed" ProgID="Equation.3" ShapeID="_x0000_i1133" DrawAspect="Content" ObjectID="_1672939770" r:id="rId222"/>
        </w:object>
      </w:r>
      <w:r w:rsidRPr="00126FD8">
        <w:rPr>
          <w:rFonts w:ascii="Times New Roman" w:hAnsi="Times New Roman" w:cs="Times New Roman"/>
          <w:sz w:val="28"/>
          <w:szCs w:val="28"/>
        </w:rPr>
        <w:t xml:space="preserve">.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8040" w:dyaOrig="980">
          <v:shape id="_x0000_i1134" type="#_x0000_t75" style="width:401.75pt;height:49pt" o:ole="">
            <v:imagedata r:id="rId223" o:title=""/>
          </v:shape>
          <o:OLEObject Type="Embed" ProgID="Equation.3" ShapeID="_x0000_i1134" DrawAspect="Content" ObjectID="_1672939771" r:id="rId224"/>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Тогда массовый расход воздуха составит:</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ab/>
      </w:r>
      <w:r w:rsidRPr="00126FD8">
        <w:rPr>
          <w:rFonts w:ascii="Times New Roman" w:hAnsi="Times New Roman" w:cs="Times New Roman"/>
          <w:sz w:val="28"/>
          <w:szCs w:val="28"/>
        </w:rPr>
        <w:object w:dxaOrig="6039" w:dyaOrig="960">
          <v:shape id="_x0000_i1135" type="#_x0000_t75" style="width:301.9pt;height:47.8pt" o:ole="">
            <v:imagedata r:id="rId225" o:title=""/>
          </v:shape>
          <o:OLEObject Type="Embed" ProgID="Equation.3" ShapeID="_x0000_i1135" DrawAspect="Content" ObjectID="_1672939772" r:id="rId226"/>
        </w:object>
      </w:r>
      <w:r w:rsidRPr="00126FD8">
        <w:rPr>
          <w:rFonts w:ascii="Times New Roman" w:hAnsi="Times New Roman" w:cs="Times New Roman"/>
          <w:sz w:val="28"/>
          <w:szCs w:val="28"/>
        </w:rPr>
        <w:t>.</w:t>
      </w:r>
      <w:r w:rsidRPr="00126FD8">
        <w:rPr>
          <w:rFonts w:ascii="Times New Roman" w:hAnsi="Times New Roman" w:cs="Times New Roman"/>
          <w:sz w:val="28"/>
          <w:szCs w:val="28"/>
        </w:rPr>
        <w:tab/>
        <w:t>Даже при избыточном давлении воздуха в 1 атм достигается критическая скорость истечения (рис. 26), которая в дальнейшем при увеличении давления воздуха в воздуховоде не изменяется. Поскольку при увеличении давления в воздуховоде пропорционально возрастает плотность воздуха, то увеличение давления в воздуховоде приводит к непрерывному росту  массового количества воздуха, истекающего через отверстие (рис. 27).</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drawing>
          <wp:inline distT="0" distB="0" distL="0" distR="0">
            <wp:extent cx="4295140" cy="2497455"/>
            <wp:effectExtent l="0" t="0" r="0" b="0"/>
            <wp:docPr id="116" name="Объект 11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7"/>
              </a:graphicData>
            </a:graphic>
          </wp:inline>
        </w:drawing>
      </w:r>
      <w:r w:rsidRPr="00126FD8">
        <w:rPr>
          <w:rFonts w:ascii="Times New Roman" w:hAnsi="Times New Roman" w:cs="Times New Roman"/>
          <w:sz w:val="28"/>
          <w:szCs w:val="28"/>
        </w:rPr>
        <w:br/>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26 -  Изменение скорости воздуха через отверстие диаметром 10 мм при изменении давления в воздухопроводе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drawing>
          <wp:inline distT="0" distB="0" distL="0" distR="0">
            <wp:extent cx="4656455" cy="2550795"/>
            <wp:effectExtent l="0" t="0" r="0" b="0"/>
            <wp:docPr id="117" name="Объект 1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8"/>
              </a:graphicData>
            </a:graphic>
          </wp:inline>
        </w:drawing>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27 -  Изменение расхода воздуха через отверстие диаметром 10 мм при изменении давления в воздухопроводе</w:t>
      </w:r>
    </w:p>
    <w:p w:rsidR="00126FD8" w:rsidRPr="00126FD8" w:rsidRDefault="00126FD8" w:rsidP="00126FD8">
      <w:pPr>
        <w:rPr>
          <w:rFonts w:ascii="Times New Roman" w:hAnsi="Times New Roman" w:cs="Times New Roman"/>
          <w:sz w:val="28"/>
          <w:szCs w:val="28"/>
        </w:rPr>
      </w:pPr>
      <w:bookmarkStart w:id="2" w:name="_Toc166391884"/>
      <w:r w:rsidRPr="00126FD8">
        <w:rPr>
          <w:rFonts w:ascii="Times New Roman" w:hAnsi="Times New Roman" w:cs="Times New Roman"/>
          <w:sz w:val="28"/>
          <w:szCs w:val="28"/>
        </w:rPr>
        <w:lastRenderedPageBreak/>
        <w:t xml:space="preserve"> Снижение теплопотерь за счет использования двухкамерного остекления</w:t>
      </w:r>
      <w:bookmarkEnd w:id="2"/>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Рассмотрим, как снизятся потери теплоты за счет замены обычного однокамерного остекления площадью 20 м2 на двухкамерный стеклопакет. Исходные данные для расчета: зазор между стеклами </w:t>
      </w:r>
      <w:r w:rsidRPr="00126FD8">
        <w:rPr>
          <w:rFonts w:ascii="Times New Roman" w:hAnsi="Times New Roman" w:cs="Times New Roman"/>
          <w:sz w:val="28"/>
          <w:szCs w:val="28"/>
        </w:rPr>
        <w:sym w:font="Symbol" w:char="F044"/>
      </w:r>
      <w:r w:rsidRPr="00126FD8">
        <w:rPr>
          <w:rFonts w:ascii="Times New Roman" w:hAnsi="Times New Roman" w:cs="Times New Roman"/>
          <w:sz w:val="28"/>
          <w:szCs w:val="28"/>
        </w:rPr>
        <w:t xml:space="preserve"> = 20 мм; толщина стекол </w:t>
      </w:r>
      <w:r w:rsidRPr="00126FD8">
        <w:rPr>
          <w:rFonts w:ascii="Times New Roman" w:hAnsi="Times New Roman" w:cs="Times New Roman"/>
          <w:sz w:val="28"/>
          <w:szCs w:val="28"/>
        </w:rPr>
        <w:sym w:font="Symbol" w:char="F064"/>
      </w:r>
      <w:r w:rsidRPr="00126FD8">
        <w:rPr>
          <w:rFonts w:ascii="Times New Roman" w:hAnsi="Times New Roman" w:cs="Times New Roman"/>
          <w:sz w:val="28"/>
          <w:szCs w:val="28"/>
        </w:rPr>
        <w:t xml:space="preserve">с = 4 мм; теплопроводность стекла </w:t>
      </w:r>
      <w:r w:rsidRPr="00126FD8">
        <w:rPr>
          <w:rFonts w:ascii="Times New Roman" w:hAnsi="Times New Roman" w:cs="Times New Roman"/>
          <w:sz w:val="28"/>
          <w:szCs w:val="28"/>
        </w:rPr>
        <w:object w:dxaOrig="300" w:dyaOrig="380">
          <v:shape id="_x0000_i1136" type="#_x0000_t75" style="width:15.15pt;height:18.75pt" o:ole="">
            <v:imagedata r:id="rId229" o:title=""/>
          </v:shape>
          <o:OLEObject Type="Embed" ProgID="Equation.3" ShapeID="_x0000_i1136" DrawAspect="Content" ObjectID="_1672939773" r:id="rId230"/>
        </w:object>
      </w:r>
      <w:r w:rsidRPr="00126FD8">
        <w:rPr>
          <w:rFonts w:ascii="Times New Roman" w:hAnsi="Times New Roman" w:cs="Times New Roman"/>
          <w:sz w:val="28"/>
          <w:szCs w:val="28"/>
        </w:rPr>
        <w:t> = 0,75 Вт/(м</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 xml:space="preserve">К); теплопроводность воздуха </w:t>
      </w:r>
      <w:r w:rsidRPr="00126FD8">
        <w:rPr>
          <w:rFonts w:ascii="Times New Roman" w:hAnsi="Times New Roman" w:cs="Times New Roman"/>
          <w:sz w:val="28"/>
          <w:szCs w:val="28"/>
        </w:rPr>
        <w:sym w:font="Symbol" w:char="F06C"/>
      </w:r>
      <w:r w:rsidRPr="00126FD8">
        <w:rPr>
          <w:rFonts w:ascii="Times New Roman" w:hAnsi="Times New Roman" w:cs="Times New Roman"/>
          <w:sz w:val="28"/>
          <w:szCs w:val="28"/>
        </w:rPr>
        <w:t>в = 0,025 Вт/(м</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 xml:space="preserve">К); кинематическая вязкость воздуха </w:t>
      </w:r>
      <w:r w:rsidRPr="00126FD8">
        <w:rPr>
          <w:rFonts w:ascii="Times New Roman" w:hAnsi="Times New Roman" w:cs="Times New Roman"/>
          <w:sz w:val="28"/>
          <w:szCs w:val="28"/>
        </w:rPr>
        <w:sym w:font="Symbol" w:char="F06E"/>
      </w:r>
      <w:r w:rsidRPr="00126FD8">
        <w:rPr>
          <w:rFonts w:ascii="Times New Roman" w:hAnsi="Times New Roman" w:cs="Times New Roman"/>
          <w:sz w:val="28"/>
          <w:szCs w:val="28"/>
        </w:rPr>
        <w:t>в = 15</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 xml:space="preserve">10-6 м2/с; число Прандтля </w:t>
      </w:r>
      <w:r w:rsidRPr="00126FD8">
        <w:rPr>
          <w:rFonts w:ascii="Times New Roman" w:hAnsi="Times New Roman" w:cs="Times New Roman"/>
          <w:sz w:val="28"/>
          <w:szCs w:val="28"/>
        </w:rPr>
        <w:object w:dxaOrig="300" w:dyaOrig="340">
          <v:shape id="_x0000_i1137" type="#_x0000_t75" style="width:15.15pt;height:16.95pt" o:ole="">
            <v:imagedata r:id="rId231" o:title=""/>
          </v:shape>
          <o:OLEObject Type="Embed" ProgID="Equation.3" ShapeID="_x0000_i1137" DrawAspect="Content" ObjectID="_1672939774" r:id="rId232"/>
        </w:object>
      </w:r>
      <w:r w:rsidRPr="00126FD8">
        <w:rPr>
          <w:rFonts w:ascii="Times New Roman" w:hAnsi="Times New Roman" w:cs="Times New Roman"/>
          <w:sz w:val="28"/>
          <w:szCs w:val="28"/>
        </w:rPr>
        <w:t xml:space="preserve">=0,7; температура воздуха внутри помещения </w:t>
      </w:r>
      <w:r w:rsidRPr="00126FD8">
        <w:rPr>
          <w:rFonts w:ascii="Times New Roman" w:hAnsi="Times New Roman" w:cs="Times New Roman"/>
          <w:sz w:val="28"/>
          <w:szCs w:val="28"/>
        </w:rPr>
        <w:object w:dxaOrig="240" w:dyaOrig="380">
          <v:shape id="_x0000_i1138" type="#_x0000_t75" style="width:12.1pt;height:18.75pt" o:ole="">
            <v:imagedata r:id="rId233" o:title=""/>
          </v:shape>
          <o:OLEObject Type="Embed" ProgID="Equation.3" ShapeID="_x0000_i1138" DrawAspect="Content" ObjectID="_1672939775" r:id="rId234"/>
        </w:object>
      </w:r>
      <w:r w:rsidRPr="00126FD8">
        <w:rPr>
          <w:rFonts w:ascii="Times New Roman" w:hAnsi="Times New Roman" w:cs="Times New Roman"/>
          <w:sz w:val="28"/>
          <w:szCs w:val="28"/>
        </w:rPr>
        <w:t> =22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 xml:space="preserve">С; температура наружного воздуха </w:t>
      </w:r>
      <w:r w:rsidRPr="00126FD8">
        <w:rPr>
          <w:rFonts w:ascii="Times New Roman" w:hAnsi="Times New Roman" w:cs="Times New Roman"/>
          <w:sz w:val="28"/>
          <w:szCs w:val="28"/>
        </w:rPr>
        <w:object w:dxaOrig="260" w:dyaOrig="380">
          <v:shape id="_x0000_i1139" type="#_x0000_t75" style="width:12.7pt;height:18.75pt" o:ole="">
            <v:imagedata r:id="rId235" o:title=""/>
          </v:shape>
          <o:OLEObject Type="Embed" ProgID="Equation.3" ShapeID="_x0000_i1139" DrawAspect="Content" ObjectID="_1672939776" r:id="rId236"/>
        </w:object>
      </w:r>
      <w:r w:rsidRPr="00126FD8">
        <w:rPr>
          <w:rFonts w:ascii="Times New Roman" w:hAnsi="Times New Roman" w:cs="Times New Roman"/>
          <w:sz w:val="28"/>
          <w:szCs w:val="28"/>
        </w:rPr>
        <w:t> = -6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 xml:space="preserve">С; коэффициент теплоотдачи от стекол к наружному воздуху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н=12 Вт/(м2</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 xml:space="preserve">К); коэффициент теплоотдачи от стекол к воздуху в помещении </w:t>
      </w:r>
      <w:r w:rsidRPr="00126FD8">
        <w:rPr>
          <w:rFonts w:ascii="Times New Roman" w:hAnsi="Times New Roman" w:cs="Times New Roman"/>
          <w:sz w:val="28"/>
          <w:szCs w:val="28"/>
        </w:rPr>
        <w:sym w:font="Symbol" w:char="F061"/>
      </w:r>
      <w:r w:rsidRPr="00126FD8">
        <w:rPr>
          <w:rFonts w:ascii="Times New Roman" w:hAnsi="Times New Roman" w:cs="Times New Roman"/>
          <w:sz w:val="28"/>
          <w:szCs w:val="28"/>
        </w:rPr>
        <w:t>вн=8 Вт/(м2</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 xml:space="preserve">К); степень черноты стекла ε = 0,9. Расчетная схема приведена на рис. 28.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2880" w:dyaOrig="2925">
          <v:shape id="_x0000_i1140" type="#_x0000_t75" style="width:3in;height:219.05pt" o:ole="">
            <v:imagedata r:id="rId237" o:title=""/>
          </v:shape>
          <o:OLEObject Type="Embed" ProgID="KompasFRWFile" ShapeID="_x0000_i1140" DrawAspect="Content" ObjectID="_1672939777" r:id="rId238"/>
        </w:objec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28 -  Схема для расчета однокамерного остекления</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Удельный тепловой поток при однокамерном остеклении можно рассчитать по выражению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340" w:dyaOrig="1140">
          <v:shape id="_x0000_i1141" type="#_x0000_t75" style="width:167pt;height:56.85pt" o:ole="">
            <v:imagedata r:id="rId239" o:title=""/>
          </v:shape>
          <o:OLEObject Type="Embed" ProgID="Equation.3" ShapeID="_x0000_i1141" DrawAspect="Content" ObjectID="_1672939778" r:id="rId240"/>
        </w:object>
      </w:r>
      <w:r w:rsidRPr="00126FD8">
        <w:rPr>
          <w:rFonts w:ascii="Times New Roman" w:hAnsi="Times New Roman" w:cs="Times New Roman"/>
          <w:sz w:val="28"/>
          <w:szCs w:val="28"/>
        </w:rPr>
        <w:t xml:space="preserve"> Вт/(м2</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К),</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w:t>
      </w:r>
      <w:r w:rsidRPr="00126FD8">
        <w:rPr>
          <w:rFonts w:ascii="Times New Roman" w:hAnsi="Times New Roman" w:cs="Times New Roman"/>
          <w:sz w:val="28"/>
          <w:szCs w:val="28"/>
        </w:rPr>
        <w:object w:dxaOrig="1440" w:dyaOrig="380">
          <v:shape id="_x0000_i1142" type="#_x0000_t75" style="width:1in;height:18.75pt" o:ole="">
            <v:imagedata r:id="rId241" o:title=""/>
          </v:shape>
          <o:OLEObject Type="Embed" ProgID="Equation.3" ShapeID="_x0000_i1142" DrawAspect="Content" ObjectID="_1672939779" r:id="rId242"/>
        </w:object>
      </w:r>
      <w:r w:rsidRPr="00126FD8">
        <w:rPr>
          <w:rFonts w:ascii="Times New Roman" w:hAnsi="Times New Roman" w:cs="Times New Roman"/>
          <w:sz w:val="28"/>
          <w:szCs w:val="28"/>
        </w:rPr>
        <w:t xml:space="preserve">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коэффициент теплоотдачи от поверхности стекла к воздушной прослойке, являющийся суммой конвективного и лучистого </w:t>
      </w:r>
      <w:r w:rsidRPr="00126FD8">
        <w:rPr>
          <w:rFonts w:ascii="Times New Roman" w:hAnsi="Times New Roman" w:cs="Times New Roman"/>
          <w:sz w:val="28"/>
          <w:szCs w:val="28"/>
        </w:rPr>
        <w:lastRenderedPageBreak/>
        <w:t>коэффициентов теплообмена. Коэффициент теплоотдачи за счет естественной конвекции при значениях 700&lt;</w:t>
      </w:r>
      <w:r w:rsidRPr="00126FD8">
        <w:rPr>
          <w:rFonts w:ascii="Times New Roman" w:hAnsi="Times New Roman" w:cs="Times New Roman"/>
          <w:sz w:val="28"/>
          <w:szCs w:val="28"/>
        </w:rPr>
        <w:object w:dxaOrig="740" w:dyaOrig="300">
          <v:shape id="_x0000_i1143" type="#_x0000_t75" style="width:36.9pt;height:15.15pt" o:ole="">
            <v:imagedata r:id="rId243" o:title=""/>
          </v:shape>
          <o:OLEObject Type="Embed" ProgID="Equation.3" ShapeID="_x0000_i1143" DrawAspect="Content" ObjectID="_1672939780" r:id="rId244"/>
        </w:object>
      </w:r>
      <w:r w:rsidRPr="00126FD8">
        <w:rPr>
          <w:rFonts w:ascii="Times New Roman" w:hAnsi="Times New Roman" w:cs="Times New Roman"/>
          <w:sz w:val="28"/>
          <w:szCs w:val="28"/>
        </w:rPr>
        <w:t>&lt;106 рассчитывается  из выражения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120" w:dyaOrig="380">
          <v:shape id="_x0000_i1144" type="#_x0000_t75" style="width:118pt;height:21.2pt" o:ole="">
            <v:imagedata r:id="rId245" o:title=""/>
          </v:shape>
          <o:OLEObject Type="Embed" ProgID="Equation.3" ShapeID="_x0000_i1144" DrawAspect="Content" ObjectID="_1672939781" r:id="rId246"/>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Теплофизические свойства воздуха определяют при средней температуре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1800" w:dyaOrig="700">
          <v:shape id="_x0000_i1145" type="#_x0000_t75" style="width:90.15pt;height:35.1pt" o:ole="">
            <v:imagedata r:id="rId247" o:title=""/>
          </v:shape>
          <o:OLEObject Type="Embed" ProgID="Equation.3" ShapeID="_x0000_i1145" DrawAspect="Content" ObjectID="_1672939782" r:id="rId248"/>
        </w:object>
      </w:r>
      <w:r w:rsidRPr="00126FD8">
        <w:rPr>
          <w:rFonts w:ascii="Times New Roman" w:hAnsi="Times New Roman" w:cs="Times New Roman"/>
          <w:sz w:val="28"/>
          <w:szCs w:val="28"/>
        </w:rPr>
        <w:t>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w:t>
      </w:r>
      <w:r w:rsidRPr="00126FD8">
        <w:rPr>
          <w:rFonts w:ascii="Times New Roman" w:hAnsi="Times New Roman" w:cs="Times New Roman"/>
          <w:sz w:val="28"/>
          <w:szCs w:val="28"/>
        </w:rPr>
        <w:tab/>
      </w:r>
      <w:r w:rsidRPr="00126FD8">
        <w:rPr>
          <w:rFonts w:ascii="Times New Roman" w:hAnsi="Times New Roman" w:cs="Times New Roman"/>
          <w:sz w:val="28"/>
          <w:szCs w:val="28"/>
        </w:rPr>
        <w:tab/>
      </w:r>
      <w:r w:rsidRPr="00126FD8">
        <w:rPr>
          <w:rFonts w:ascii="Times New Roman" w:hAnsi="Times New Roman" w:cs="Times New Roman"/>
          <w:sz w:val="28"/>
          <w:szCs w:val="28"/>
        </w:rPr>
        <w:tab/>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Произведение критериев Грасгофа и Прандтля можно записать в виде </w:t>
      </w:r>
      <w:r w:rsidRPr="00126FD8">
        <w:rPr>
          <w:rFonts w:ascii="Times New Roman" w:hAnsi="Times New Roman" w:cs="Times New Roman"/>
          <w:sz w:val="28"/>
          <w:szCs w:val="28"/>
        </w:rPr>
        <w:object w:dxaOrig="5280" w:dyaOrig="780">
          <v:shape id="_x0000_i1146" type="#_x0000_t75" style="width:263.8pt;height:38.7pt" o:ole="">
            <v:imagedata r:id="rId249" o:title=""/>
          </v:shape>
          <o:OLEObject Type="Embed" ProgID="Equation.3" ShapeID="_x0000_i1146" DrawAspect="Content" ObjectID="_1672939783" r:id="rId250"/>
        </w:object>
      </w:r>
      <w:r w:rsidRPr="00126FD8">
        <w:rPr>
          <w:rFonts w:ascii="Times New Roman" w:hAnsi="Times New Roman" w:cs="Times New Roman"/>
          <w:sz w:val="28"/>
          <w:szCs w:val="28"/>
        </w:rPr>
        <w:t xml:space="preserve">, где коэффициент объемного расширения для газов равен </w:t>
      </w:r>
      <w:r w:rsidRPr="00126FD8">
        <w:rPr>
          <w:rFonts w:ascii="Times New Roman" w:hAnsi="Times New Roman" w:cs="Times New Roman"/>
          <w:sz w:val="28"/>
          <w:szCs w:val="28"/>
        </w:rPr>
        <w:object w:dxaOrig="1460" w:dyaOrig="720">
          <v:shape id="_x0000_i1147" type="#_x0000_t75" style="width:73.2pt;height:36.3pt" o:ole="">
            <v:imagedata r:id="rId251" o:title=""/>
          </v:shape>
          <o:OLEObject Type="Embed" ProgID="Equation.3" ShapeID="_x0000_i1147" DrawAspect="Content" ObjectID="_1672939784" r:id="rId252"/>
        </w:object>
      </w:r>
      <w:r w:rsidRPr="00126FD8">
        <w:rPr>
          <w:rFonts w:ascii="Times New Roman" w:hAnsi="Times New Roman" w:cs="Times New Roman"/>
          <w:sz w:val="28"/>
          <w:szCs w:val="28"/>
        </w:rPr>
        <w:t xml:space="preserve">. Для принятых исходных данных коэффициент теплоотдачи конвекцией оказался равным </w:t>
      </w:r>
      <w:r w:rsidRPr="00126FD8">
        <w:rPr>
          <w:rFonts w:ascii="Times New Roman" w:hAnsi="Times New Roman" w:cs="Times New Roman"/>
          <w:sz w:val="28"/>
          <w:szCs w:val="28"/>
        </w:rPr>
        <w:object w:dxaOrig="999" w:dyaOrig="380">
          <v:shape id="_x0000_i1148" type="#_x0000_t75" style="width:50.2pt;height:18.75pt" o:ole="">
            <v:imagedata r:id="rId253" o:title=""/>
          </v:shape>
          <o:OLEObject Type="Embed" ProgID="Equation.3" ShapeID="_x0000_i1148" DrawAspect="Content" ObjectID="_1672939785" r:id="rId254"/>
        </w:object>
      </w:r>
      <w:r w:rsidRPr="00126FD8">
        <w:rPr>
          <w:rFonts w:ascii="Times New Roman" w:hAnsi="Times New Roman" w:cs="Times New Roman"/>
          <w:sz w:val="28"/>
          <w:szCs w:val="28"/>
        </w:rPr>
        <w:t>. Коэффициент теплоотдачи излучением рассчитывается по выражению</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980" w:dyaOrig="1300">
          <v:shape id="_x0000_i1149" type="#_x0000_t75" style="width:199.05pt;height:64.75pt" o:ole="">
            <v:imagedata r:id="rId255" o:title=""/>
          </v:shape>
          <o:OLEObject Type="Embed" ProgID="Equation.3" ShapeID="_x0000_i1149" DrawAspect="Content" ObjectID="_1672939786" r:id="rId256"/>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приведенная степень черноты определяется как </w:t>
      </w:r>
      <w:r w:rsidRPr="00126FD8">
        <w:rPr>
          <w:rFonts w:ascii="Times New Roman" w:hAnsi="Times New Roman" w:cs="Times New Roman"/>
          <w:sz w:val="28"/>
          <w:szCs w:val="28"/>
        </w:rPr>
        <w:object w:dxaOrig="1480" w:dyaOrig="1120">
          <v:shape id="_x0000_i1150" type="#_x0000_t75" style="width:73.8pt;height:56.25pt" o:ole="">
            <v:imagedata r:id="rId257" o:title=""/>
          </v:shape>
          <o:OLEObject Type="Embed" ProgID="Equation.3" ShapeID="_x0000_i1150" DrawAspect="Content" ObjectID="_1672939787" r:id="rId258"/>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В результате расчетов  оказалось, что </w:t>
      </w:r>
      <w:r w:rsidRPr="00126FD8">
        <w:rPr>
          <w:rFonts w:ascii="Times New Roman" w:hAnsi="Times New Roman" w:cs="Times New Roman"/>
          <w:sz w:val="28"/>
          <w:szCs w:val="28"/>
        </w:rPr>
        <w:object w:dxaOrig="2200" w:dyaOrig="380">
          <v:shape id="_x0000_i1151" type="#_x0000_t75" style="width:110.1pt;height:18.75pt" o:ole="">
            <v:imagedata r:id="rId259" o:title=""/>
          </v:shape>
          <o:OLEObject Type="Embed" ProgID="Equation.3" ShapeID="_x0000_i1151" DrawAspect="Content" ObjectID="_1672939788" r:id="rId260"/>
        </w:object>
      </w:r>
      <w:r w:rsidRPr="00126FD8">
        <w:rPr>
          <w:rFonts w:ascii="Times New Roman" w:hAnsi="Times New Roman" w:cs="Times New Roman"/>
          <w:sz w:val="28"/>
          <w:szCs w:val="28"/>
        </w:rPr>
        <w:t xml:space="preserve"> Вт/(м2</w:t>
      </w:r>
      <w:r w:rsidRPr="00126FD8">
        <w:rPr>
          <w:rFonts w:ascii="Times New Roman" w:hAnsi="Times New Roman" w:cs="Times New Roman"/>
          <w:sz w:val="28"/>
          <w:szCs w:val="28"/>
        </w:rPr>
        <w:sym w:font="Symbol" w:char="F0D7"/>
      </w:r>
      <w:r w:rsidRPr="00126FD8">
        <w:rPr>
          <w:rFonts w:ascii="Times New Roman" w:hAnsi="Times New Roman" w:cs="Times New Roman"/>
          <w:sz w:val="28"/>
          <w:szCs w:val="28"/>
        </w:rPr>
        <w:t>К).</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Удельный тепловой поток при двухкамерном остеклении можно рассчитать по выражению (расчетная схема приведена на рис. 29):</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2700" w:dyaOrig="1140">
          <v:shape id="_x0000_i1152" type="#_x0000_t75" style="width:134.9pt;height:56.85pt" o:ole="">
            <v:imagedata r:id="rId261" o:title=""/>
          </v:shape>
          <o:OLEObject Type="Embed" ProgID="Equation.3" ShapeID="_x0000_i1152" DrawAspect="Content" ObjectID="_1672939789" r:id="rId262"/>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2880" w:dyaOrig="2925">
          <v:shape id="_x0000_i1153" type="#_x0000_t75" style="width:3in;height:220.25pt" o:ole="">
            <v:imagedata r:id="rId263" o:title=""/>
          </v:shape>
          <o:OLEObject Type="Embed" ProgID="KompasFRWFile" ShapeID="_x0000_i1153" DrawAspect="Content" ObjectID="_1672939790" r:id="rId264"/>
        </w:objec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29 -  Схема для расчета двухкамерного остекления</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bookmarkStart w:id="3" w:name="_Toc166391885"/>
      <w:r w:rsidRPr="00126FD8">
        <w:rPr>
          <w:rFonts w:ascii="Times New Roman" w:hAnsi="Times New Roman" w:cs="Times New Roman"/>
          <w:sz w:val="28"/>
          <w:szCs w:val="28"/>
        </w:rPr>
        <w:t xml:space="preserve"> Система инфракрасного обогрева производственных помещений</w:t>
      </w:r>
      <w:bookmarkEnd w:id="3"/>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Инфракрасные системы обогрева (ИКО) имеют ряд преимуществ по сравнению с традиционными системами [21]:</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высокая надежность теплоснабжения: отсутствие водяного цикла исключает размораживание;</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высокая скорость нагрева: прогрев рабочих мест осуществляется в течение нескольких минут после включения, что дает возможность снижения температуры, а значит и расхода газа в ночное время, в выходные и праздничные дни;</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меньшая температура воздуха в помещении: комфортные условия работы наблюдаются при температурах внутреннего воздуха меньших на 5-10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чем при использовании конвективных систем;</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sym w:font="Symbol" w:char="F0B7"/>
      </w:r>
      <w:r w:rsidRPr="00126FD8">
        <w:rPr>
          <w:rFonts w:ascii="Times New Roman" w:hAnsi="Times New Roman" w:cs="Times New Roman"/>
          <w:sz w:val="28"/>
          <w:szCs w:val="28"/>
        </w:rPr>
        <w:t xml:space="preserve"> локальный обогрев: излучатели могут осуществлять зонный обогрев отдельных рабочих.</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В соответствии с имеющимся опытом желаемая температура в помещении может быть выражена как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1100" w:dyaOrig="360">
          <v:shape id="_x0000_i1154" type="#_x0000_t75" style="width:55.05pt;height:18.15pt" o:ole="">
            <v:imagedata r:id="rId265" o:title=""/>
          </v:shape>
          <o:OLEObject Type="Embed" ProgID="Equation.3" ShapeID="_x0000_i1154" DrawAspect="Content" ObjectID="_1672939791" r:id="rId266"/>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 xml:space="preserve">где tв – температура воздуха в помещении,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tл – лучистая температура, получаемая поверхностями за счет излучения от рабочих поверхностей инфракрасных излучателей.</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Воздух в помещении не нагревается за счет инфракрасного излучения и может быть ниже желаемой температуры. Следовательно, возможно снижение температуры воздуха tв при одновременном увеличении лучистой температуры tл.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Выражение для желаемой температуры также может быть записано как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1760" w:dyaOrig="380">
          <v:shape id="_x0000_i1155" type="#_x0000_t75" style="width:87.75pt;height:18.75pt" o:ole="">
            <v:imagedata r:id="rId267" o:title=""/>
          </v:shape>
          <o:OLEObject Type="Embed" ProgID="Equation.3" ShapeID="_x0000_i1155" DrawAspect="Content" ObjectID="_1672939792" r:id="rId268"/>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I – плотность лучистого потока, Вт/м2. Плотность потока излучения на постоянных рабочих местах ограничена величиной 150 Вт/м2. При максимально допустимом лучистом потоке температура воздуха в рабочей зоне может быть снижена до </w:t>
      </w:r>
      <w:r w:rsidRPr="00126FD8">
        <w:rPr>
          <w:rFonts w:ascii="Times New Roman" w:hAnsi="Times New Roman" w:cs="Times New Roman"/>
          <w:sz w:val="28"/>
          <w:szCs w:val="28"/>
        </w:rPr>
        <w:object w:dxaOrig="3820" w:dyaOrig="380">
          <v:shape id="_x0000_i1156" type="#_x0000_t75" style="width:191.2pt;height:18.75pt" o:ole="">
            <v:imagedata r:id="rId269" o:title=""/>
          </v:shape>
          <o:OLEObject Type="Embed" ProgID="Equation.3" ShapeID="_x0000_i1156" DrawAspect="Content" ObjectID="_1672939793" r:id="rId270"/>
        </w:object>
      </w:r>
      <w:r w:rsidRPr="00126FD8">
        <w:rPr>
          <w:rFonts w:ascii="Times New Roman" w:hAnsi="Times New Roman" w:cs="Times New Roman"/>
          <w:sz w:val="28"/>
          <w:szCs w:val="28"/>
        </w:rPr>
        <w:t>.</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Особенно эффективны системы ИКО в промышленных зданиях с высокими пролетами, в которых при обычных конвективных системах теплый воздух поднимается под потолок, оставляя нижнюю часть помещения, где как раз работают люди, относительно холодной. Разница в температурах между воздухом у пола и потолка может достигать 20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 xml:space="preserve">Оценим возможную экономию тепла при использовании системы ИКО. При стандартном конвективном способе отопления производственных помещений с высокими пролетами перепад температуры воздуха по высоте может достигать </w:t>
      </w:r>
      <w:r w:rsidRPr="00126FD8">
        <w:rPr>
          <w:rFonts w:ascii="Times New Roman" w:hAnsi="Times New Roman" w:cs="Times New Roman"/>
          <w:sz w:val="28"/>
          <w:szCs w:val="28"/>
        </w:rPr>
        <w:sym w:font="Symbol" w:char="F044"/>
      </w:r>
      <w:r w:rsidRPr="00126FD8">
        <w:rPr>
          <w:rFonts w:ascii="Times New Roman" w:hAnsi="Times New Roman" w:cs="Times New Roman"/>
          <w:sz w:val="28"/>
          <w:szCs w:val="28"/>
        </w:rPr>
        <w:t>t = 10-15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При известном коэффициенте тепловых потерь здания k плотность теплового потока потерь при конвективном отоплении приближенно выражается как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r>
      <w:r w:rsidRPr="00126FD8">
        <w:rPr>
          <w:rFonts w:ascii="Times New Roman" w:hAnsi="Times New Roman" w:cs="Times New Roman"/>
          <w:sz w:val="28"/>
          <w:szCs w:val="28"/>
        </w:rPr>
        <w:object w:dxaOrig="3420" w:dyaOrig="780">
          <v:shape id="_x0000_i1157" type="#_x0000_t75" style="width:171.25pt;height:38.7pt" o:ole="">
            <v:imagedata r:id="rId271" o:title=""/>
          </v:shape>
          <o:OLEObject Type="Embed" ProgID="Equation.3" ShapeID="_x0000_i1157" DrawAspect="Content" ObjectID="_1672939794" r:id="rId272"/>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где </w:t>
      </w:r>
      <w:r w:rsidRPr="00126FD8">
        <w:rPr>
          <w:rFonts w:ascii="Times New Roman" w:hAnsi="Times New Roman" w:cs="Times New Roman"/>
          <w:sz w:val="28"/>
          <w:szCs w:val="28"/>
        </w:rPr>
        <w:object w:dxaOrig="180" w:dyaOrig="279">
          <v:shape id="_x0000_i1158" type="#_x0000_t75" style="width:9.1pt;height:13.9pt" o:ole="">
            <v:imagedata r:id="rId273" o:title=""/>
          </v:shape>
          <o:OLEObject Type="Embed" ProgID="Equation.3" ShapeID="_x0000_i1158" DrawAspect="Content" ObjectID="_1672939795" r:id="rId274"/>
        </w:object>
      </w:r>
      <w:r w:rsidRPr="00126FD8">
        <w:rPr>
          <w:rFonts w:ascii="Times New Roman" w:hAnsi="Times New Roman" w:cs="Times New Roman"/>
          <w:sz w:val="28"/>
          <w:szCs w:val="28"/>
        </w:rPr>
        <w:t xml:space="preserve"> - средняя температура воздуха в помещении,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 xml:space="preserve">С; tн – температура наружного воздуха,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При лучистом отоплении перепад температуры воздуха по высоте здания отсутствует или может быть даже отрицательным (вверху температура воздуха ниже, чем у пола). В этом случае потери тепла при использовании системы ИКО и сохранении той же самой желаемой температуры на рабочем месте выражается как</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tab/>
      </w:r>
      <w:r w:rsidRPr="00126FD8">
        <w:rPr>
          <w:rFonts w:ascii="Times New Roman" w:hAnsi="Times New Roman" w:cs="Times New Roman"/>
          <w:sz w:val="28"/>
          <w:szCs w:val="28"/>
        </w:rPr>
        <w:object w:dxaOrig="3220" w:dyaOrig="380">
          <v:shape id="_x0000_i1159" type="#_x0000_t75" style="width:160.95pt;height:18.75pt" o:ole="">
            <v:imagedata r:id="rId275" o:title=""/>
          </v:shape>
          <o:OLEObject Type="Embed" ProgID="Equation.3" ShapeID="_x0000_i1159" DrawAspect="Content" ObjectID="_1672939796" r:id="rId276"/>
        </w:object>
      </w:r>
      <w:r w:rsidRPr="00126FD8">
        <w:rPr>
          <w:rFonts w:ascii="Times New Roman" w:hAnsi="Times New Roman" w:cs="Times New Roman"/>
          <w:sz w:val="28"/>
          <w:szCs w:val="28"/>
        </w:rPr>
        <w:t>.</w:t>
      </w:r>
      <w:r w:rsidRPr="00126FD8">
        <w:rPr>
          <w:rFonts w:ascii="Times New Roman" w:hAnsi="Times New Roman" w:cs="Times New Roman"/>
          <w:sz w:val="28"/>
          <w:szCs w:val="28"/>
        </w:rPr>
        <w:tab/>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Тогда перевод отопления с конвективного на ИКО при средней температуре наружного воздуха за отопительный сезон tн = -6,6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 xml:space="preserve">С дает снижение теплопотерь здания в 2 и более раз: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object w:dxaOrig="8240" w:dyaOrig="780">
          <v:shape id="_x0000_i1160" type="#_x0000_t75" style="width:412.05pt;height:38.7pt" o:ole="">
            <v:imagedata r:id="rId277" o:title=""/>
          </v:shape>
          <o:OLEObject Type="Embed" ProgID="Equation.3" ShapeID="_x0000_i1160" DrawAspect="Content" ObjectID="_1672939797" r:id="rId278"/>
        </w:objec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Дальнейшее снижение потребления теплоты возможно за счет уменьшения температуры на рабочих местах в ночное время, выходные дни, а также путем применения локального обогрева. Все эти режимы легко реализуются с помощью ИКО.</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По способам сжигания природного газа и температуре рабочих поверхностей можно выделить 3 группы ИК- излучателей:</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а) светлые ИК- излучатели – температура рабочих поверхностей 800-1000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б) «темные» ИК- излучатели – 00-650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в) «черные» ИК- излучатели – 200-300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Светлые системы ИКО. Все светлые ИК- излучатели основаны на принципе поверхностного горения (рис. 82).</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Основным элементом излучателя является панель из пористой перфорированной керамики (рис. 30). На внутреннюю сторону панели подается смесь газа и воздуха, которая затем проходит через отверстия малого диаметра в керамической панели, при этом смесь нагревается и воспламеняется вблизи поверхности. Образующееся в выходных частях отверстий пламя нагревает излучающую керамическую поверхность до температуры 800-1000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Рисунок 30 -  Схема работы светлого ИК- излучателя: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1 – газовоздушая смесь;</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2 – пористая перфорированная панель; 3 – излучающая поверхность;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4 – стабилизирующий экран</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lastRenderedPageBreak/>
        <w:drawing>
          <wp:inline distT="0" distB="0" distL="0" distR="0">
            <wp:extent cx="3657600" cy="2643505"/>
            <wp:effectExtent l="1905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279"/>
                    <a:srcRect/>
                    <a:stretch>
                      <a:fillRect/>
                    </a:stretch>
                  </pic:blipFill>
                  <pic:spPr bwMode="auto">
                    <a:xfrm>
                      <a:off x="0" y="0"/>
                      <a:ext cx="3657600" cy="2643505"/>
                    </a:xfrm>
                    <a:prstGeom prst="rect">
                      <a:avLst/>
                    </a:prstGeom>
                    <a:noFill/>
                    <a:ln w="9525">
                      <a:noFill/>
                      <a:miter lim="800000"/>
                      <a:headEnd/>
                      <a:tailEnd/>
                    </a:ln>
                  </pic:spPr>
                </pic:pic>
              </a:graphicData>
            </a:graphic>
          </wp:inline>
        </w:drawing>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Из-за высокой температуры поверхности эти излучатели должны монтироваться на достаточном расстоянии от рабочих мест и пола. Лучистый КПД в лучших моделях может достигать 60 %. Кроме того, продукты сгорания выбрасываются в атмосферу цеха, отдавая теплоту зданию. Поэтому суммарный КПД таких систем близок к 100 %. Для поступления воздуха на горение и удаления продуктов сгорания необходимо обеспечить приточно-вытяжную вентиляцию объемом 23,3 м3/ч на 1 кВт установленной мощности ИК-излучателей. Как правило, имеющейся естественной вентиляции достаточно для этих целей.</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Кроме указанных выше преимуществ, светлые излучатели компактны, легко устанавливаются на колоннах и фермах, не занимая полезное пространство цехов, не требуют специальных вытяжных и воздухоподводящих труб, вентиляторов, потребляют минимум электроэнергии. Таким образом, светлые ИК- излучатели идеальны для обогрева цехов с высокими пролетами. Ограничения по применению могут быть связаны с чрезмерной запыленностью и пожароопасностью производства.</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«Темные» ИК- излучатели. «Темные» ИК- излучатели имеют температуру рабочей поверхности 400-650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Типичная конструкция представлена на рис. 31.</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Система содержит горелку, соединенную трубой диаметром 80-100 мм с вытяжным вентилятором. Поток продуктов сгорания поступает в трубу, доводя температуру ее наружной поверхности до 400-650</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Отражатель, расположенный над излучающей трубой, направляет поток тепла в отапливаемую зону.</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Если в системе ИКО со светлыми излучателями продукты сгорания выбрасываются в атмосферу цеха, дополнительно отдавая теплоту, то в системах с «темными» излучателями продукты сгорания, как правило, должны выводиться наружу из-за повышенного содержания оксидов азота. При этом суммарный КПД «темных» систем не превосходит 70 %.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«Черные» ИК- излучатели. «Черные» ИК- излучатели имеют температуру рабочих поверхностей 200-300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Они представляют собой воздуховоды диаметром 300-400 мм, устанавливаемые над рабочими местами в цехах.</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Внутри воздуховодов рециркулирует горячий воздух с температурой 200-400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нагревая стенки воздуховода. Сверху воздуховодов устанавливается тепловая изоляция и рефлектор. Воздух для горения подается дополнительным вентилятором. Нагрев рециркуляционного воздуха осуществляется за счет смешения продуктов сгорания с нагреваемой средой. Часть рециркулирующего воздуха выбрасывается за пределы помещения. Поскольку температура воздуха на выходе из системы, как правило, не превышает 200 </w:t>
      </w:r>
      <w:r w:rsidRPr="00126FD8">
        <w:rPr>
          <w:rFonts w:ascii="Times New Roman" w:hAnsi="Times New Roman" w:cs="Times New Roman"/>
          <w:sz w:val="28"/>
          <w:szCs w:val="28"/>
        </w:rPr>
        <w:sym w:font="Symbol" w:char="F0B0"/>
      </w:r>
      <w:r w:rsidRPr="00126FD8">
        <w:rPr>
          <w:rFonts w:ascii="Times New Roman" w:hAnsi="Times New Roman" w:cs="Times New Roman"/>
          <w:sz w:val="28"/>
          <w:szCs w:val="28"/>
        </w:rPr>
        <w:t>С, то суммарный КПД системы близок к 85 %.</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Рисунок 31 -  Схема работы «темного» и «черного» ИК- излучателя:</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1 – подача газа; 2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вентилятор;</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 3 – воздуховод; 4 – воздушный поток; 5 – изоляция; 6 – рефлектор; 7 – вывод продуктов сгорания; </w:t>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 xml:space="preserve">8 </w:t>
      </w:r>
      <w:r w:rsidRPr="00126FD8">
        <w:rPr>
          <w:rFonts w:ascii="Times New Roman" w:hAnsi="Times New Roman" w:cs="Times New Roman"/>
          <w:sz w:val="28"/>
          <w:szCs w:val="28"/>
        </w:rPr>
        <w:sym w:font="Symbol" w:char="F02D"/>
      </w:r>
      <w:r w:rsidRPr="00126FD8">
        <w:rPr>
          <w:rFonts w:ascii="Times New Roman" w:hAnsi="Times New Roman" w:cs="Times New Roman"/>
          <w:sz w:val="28"/>
          <w:szCs w:val="28"/>
        </w:rPr>
        <w:t xml:space="preserve"> рабочие места в цехе</w:t>
      </w:r>
    </w:p>
    <w:p w:rsidR="00126FD8" w:rsidRPr="00126FD8" w:rsidRDefault="00126FD8" w:rsidP="00126FD8">
      <w:pPr>
        <w:rPr>
          <w:rFonts w:ascii="Times New Roman" w:hAnsi="Times New Roman" w:cs="Times New Roman"/>
          <w:sz w:val="28"/>
          <w:szCs w:val="28"/>
        </w:rPr>
      </w:pP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drawing>
          <wp:inline distT="0" distB="0" distL="0" distR="0">
            <wp:extent cx="3796030" cy="2812415"/>
            <wp:effectExtent l="1905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80"/>
                    <a:srcRect/>
                    <a:stretch>
                      <a:fillRect/>
                    </a:stretch>
                  </pic:blipFill>
                  <pic:spPr bwMode="auto">
                    <a:xfrm>
                      <a:off x="0" y="0"/>
                      <a:ext cx="3796030" cy="2812415"/>
                    </a:xfrm>
                    <a:prstGeom prst="rect">
                      <a:avLst/>
                    </a:prstGeom>
                    <a:noFill/>
                    <a:ln w="9525">
                      <a:noFill/>
                      <a:miter lim="800000"/>
                      <a:headEnd/>
                      <a:tailEnd/>
                    </a:ln>
                  </pic:spPr>
                </pic:pic>
              </a:graphicData>
            </a:graphic>
          </wp:inline>
        </w:drawing>
      </w:r>
    </w:p>
    <w:p w:rsidR="00126FD8" w:rsidRPr="00126FD8" w:rsidRDefault="00126FD8" w:rsidP="00126FD8">
      <w:pPr>
        <w:rPr>
          <w:rFonts w:ascii="Times New Roman" w:hAnsi="Times New Roman" w:cs="Times New Roman"/>
          <w:sz w:val="28"/>
          <w:szCs w:val="28"/>
        </w:rPr>
      </w:pPr>
      <w:r w:rsidRPr="00126FD8">
        <w:rPr>
          <w:rFonts w:ascii="Times New Roman" w:hAnsi="Times New Roman" w:cs="Times New Roman"/>
          <w:sz w:val="28"/>
          <w:szCs w:val="28"/>
        </w:rPr>
        <w:tab/>
        <w:t>Такие системы можно использовать не только в промышленных зданиях, но и в аэропортах, вокзалах, стадионах. Препятствием по применению таких систем может быть только отсутствие свободного пространства в цехе или вторжение в зону действия имеющихся кранов.</w:t>
      </w:r>
    </w:p>
    <w:p w:rsidR="00126FD8" w:rsidRPr="00126FD8" w:rsidRDefault="00126FD8" w:rsidP="00126FD8">
      <w:pPr>
        <w:rPr>
          <w:rFonts w:ascii="Times New Roman" w:hAnsi="Times New Roman" w:cs="Times New Roman"/>
          <w:sz w:val="28"/>
          <w:szCs w:val="28"/>
        </w:rPr>
      </w:pPr>
    </w:p>
    <w:p w:rsidR="00C37377" w:rsidRPr="00126FD8" w:rsidRDefault="00C37377" w:rsidP="00126FD8">
      <w:pPr>
        <w:rPr>
          <w:rFonts w:ascii="Times New Roman" w:hAnsi="Times New Roman" w:cs="Times New Roman"/>
          <w:sz w:val="28"/>
          <w:szCs w:val="28"/>
        </w:rPr>
      </w:pPr>
    </w:p>
    <w:sectPr w:rsidR="00C37377" w:rsidRPr="00126FD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MathA">
    <w:altName w:val="Symbol"/>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CDB41778"/>
    <w:lvl w:ilvl="0">
      <w:start w:val="1"/>
      <w:numFmt w:val="bullet"/>
      <w:pStyle w:val="a"/>
      <w:lvlText w:val=""/>
      <w:lvlJc w:val="left"/>
      <w:pPr>
        <w:tabs>
          <w:tab w:val="num" w:pos="360"/>
        </w:tabs>
        <w:ind w:left="360" w:hanging="360"/>
      </w:pPr>
      <w:rPr>
        <w:rFonts w:ascii="Symbol" w:hAnsi="Symbol" w:hint="default"/>
      </w:rPr>
    </w:lvl>
  </w:abstractNum>
  <w:abstractNum w:abstractNumId="1">
    <w:nsid w:val="FFFFFFFE"/>
    <w:multiLevelType w:val="singleLevel"/>
    <w:tmpl w:val="FFFFFFFF"/>
    <w:lvl w:ilvl="0">
      <w:numFmt w:val="decimal"/>
      <w:lvlText w:val="*"/>
      <w:lvlJc w:val="left"/>
    </w:lvl>
  </w:abstractNum>
  <w:abstractNum w:abstractNumId="2">
    <w:nsid w:val="034B767A"/>
    <w:multiLevelType w:val="hybridMultilevel"/>
    <w:tmpl w:val="E6EA59D4"/>
    <w:lvl w:ilvl="0" w:tplc="CA9E8A2A">
      <w:start w:val="1"/>
      <w:numFmt w:val="bullet"/>
      <w:lvlText w:val="–"/>
      <w:lvlJc w:val="left"/>
      <w:pPr>
        <w:tabs>
          <w:tab w:val="num" w:pos="1571"/>
        </w:tabs>
        <w:ind w:left="1571"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6935807"/>
    <w:multiLevelType w:val="singleLevel"/>
    <w:tmpl w:val="7B66888E"/>
    <w:lvl w:ilvl="0">
      <w:start w:val="8"/>
      <w:numFmt w:val="decimal"/>
      <w:lvlText w:val="%1. "/>
      <w:legacy w:legacy="1" w:legacySpace="0" w:legacyIndent="283"/>
      <w:lvlJc w:val="left"/>
      <w:pPr>
        <w:ind w:left="992" w:hanging="283"/>
      </w:pPr>
      <w:rPr>
        <w:rFonts w:ascii="Times New Roman" w:hAnsi="Times New Roman" w:hint="default"/>
        <w:b/>
        <w:i w:val="0"/>
        <w:sz w:val="28"/>
        <w:u w:val="none"/>
      </w:rPr>
    </w:lvl>
  </w:abstractNum>
  <w:abstractNum w:abstractNumId="4">
    <w:nsid w:val="06DD01EE"/>
    <w:multiLevelType w:val="multilevel"/>
    <w:tmpl w:val="0EC0222E"/>
    <w:lvl w:ilvl="0">
      <w:start w:val="1"/>
      <w:numFmt w:val="bullet"/>
      <w:lvlText w:val="–"/>
      <w:lvlJc w:val="left"/>
      <w:pPr>
        <w:tabs>
          <w:tab w:val="num" w:pos="1571"/>
        </w:tabs>
        <w:ind w:left="1571"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0A6C73C6"/>
    <w:multiLevelType w:val="hybridMultilevel"/>
    <w:tmpl w:val="2474DCF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FE3539"/>
    <w:multiLevelType w:val="hybridMultilevel"/>
    <w:tmpl w:val="586A6E4C"/>
    <w:lvl w:ilvl="0" w:tplc="F404C5B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0F667935"/>
    <w:multiLevelType w:val="hybridMultilevel"/>
    <w:tmpl w:val="76842DDC"/>
    <w:lvl w:ilvl="0" w:tplc="CA9E8A2A">
      <w:start w:val="1"/>
      <w:numFmt w:val="bullet"/>
      <w:lvlText w:val="–"/>
      <w:lvlJc w:val="left"/>
      <w:pPr>
        <w:tabs>
          <w:tab w:val="num" w:pos="1571"/>
        </w:tabs>
        <w:ind w:left="1571"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A393BEB"/>
    <w:multiLevelType w:val="singleLevel"/>
    <w:tmpl w:val="D228EB2E"/>
    <w:lvl w:ilvl="0">
      <w:start w:val="5"/>
      <w:numFmt w:val="bullet"/>
      <w:lvlText w:val="-"/>
      <w:lvlJc w:val="left"/>
      <w:pPr>
        <w:tabs>
          <w:tab w:val="num" w:pos="360"/>
        </w:tabs>
        <w:ind w:left="360" w:hanging="360"/>
      </w:pPr>
      <w:rPr>
        <w:rFonts w:hint="default"/>
      </w:rPr>
    </w:lvl>
  </w:abstractNum>
  <w:abstractNum w:abstractNumId="9">
    <w:nsid w:val="27436FD7"/>
    <w:multiLevelType w:val="hybridMultilevel"/>
    <w:tmpl w:val="D706AA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E372765"/>
    <w:multiLevelType w:val="hybridMultilevel"/>
    <w:tmpl w:val="0604196A"/>
    <w:lvl w:ilvl="0" w:tplc="04190001">
      <w:start w:val="1"/>
      <w:numFmt w:val="bullet"/>
      <w:lvlText w:val=""/>
      <w:lvlJc w:val="left"/>
      <w:pPr>
        <w:tabs>
          <w:tab w:val="num" w:pos="1040"/>
        </w:tabs>
        <w:ind w:left="10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651074E"/>
    <w:multiLevelType w:val="singleLevel"/>
    <w:tmpl w:val="0419000F"/>
    <w:lvl w:ilvl="0">
      <w:start w:val="1"/>
      <w:numFmt w:val="decimal"/>
      <w:lvlText w:val="%1."/>
      <w:lvlJc w:val="left"/>
      <w:pPr>
        <w:tabs>
          <w:tab w:val="num" w:pos="360"/>
        </w:tabs>
        <w:ind w:left="360" w:hanging="360"/>
      </w:pPr>
    </w:lvl>
  </w:abstractNum>
  <w:abstractNum w:abstractNumId="12">
    <w:nsid w:val="38B81DCC"/>
    <w:multiLevelType w:val="hybridMultilevel"/>
    <w:tmpl w:val="40205C1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B085EBE"/>
    <w:multiLevelType w:val="hybridMultilevel"/>
    <w:tmpl w:val="C5AA98BE"/>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DE0707E"/>
    <w:multiLevelType w:val="hybridMultilevel"/>
    <w:tmpl w:val="5502B5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2EA53EB"/>
    <w:multiLevelType w:val="singleLevel"/>
    <w:tmpl w:val="3A60F35E"/>
    <w:lvl w:ilvl="0">
      <w:numFmt w:val="bullet"/>
      <w:lvlText w:val="-"/>
      <w:lvlJc w:val="left"/>
      <w:pPr>
        <w:tabs>
          <w:tab w:val="num" w:pos="360"/>
        </w:tabs>
        <w:ind w:left="360" w:hanging="360"/>
      </w:pPr>
      <w:rPr>
        <w:rFonts w:hint="default"/>
      </w:rPr>
    </w:lvl>
  </w:abstractNum>
  <w:abstractNum w:abstractNumId="16">
    <w:nsid w:val="4ABA09C2"/>
    <w:multiLevelType w:val="singleLevel"/>
    <w:tmpl w:val="0419000F"/>
    <w:lvl w:ilvl="0">
      <w:start w:val="1"/>
      <w:numFmt w:val="decimal"/>
      <w:lvlText w:val="%1."/>
      <w:lvlJc w:val="left"/>
      <w:pPr>
        <w:tabs>
          <w:tab w:val="num" w:pos="360"/>
        </w:tabs>
        <w:ind w:left="360" w:hanging="360"/>
      </w:pPr>
    </w:lvl>
  </w:abstractNum>
  <w:abstractNum w:abstractNumId="17">
    <w:nsid w:val="4DF03EC4"/>
    <w:multiLevelType w:val="hybridMultilevel"/>
    <w:tmpl w:val="6F3A6B7E"/>
    <w:lvl w:ilvl="0" w:tplc="04190001">
      <w:start w:val="1"/>
      <w:numFmt w:val="bullet"/>
      <w:lvlText w:val=""/>
      <w:lvlJc w:val="left"/>
      <w:pPr>
        <w:tabs>
          <w:tab w:val="num" w:pos="1040"/>
        </w:tabs>
        <w:ind w:left="1040" w:hanging="360"/>
      </w:pPr>
      <w:rPr>
        <w:rFonts w:ascii="Symbol" w:hAnsi="Symbol" w:hint="default"/>
      </w:rPr>
    </w:lvl>
    <w:lvl w:ilvl="1" w:tplc="04190003" w:tentative="1">
      <w:start w:val="1"/>
      <w:numFmt w:val="bullet"/>
      <w:lvlText w:val="o"/>
      <w:lvlJc w:val="left"/>
      <w:pPr>
        <w:tabs>
          <w:tab w:val="num" w:pos="1760"/>
        </w:tabs>
        <w:ind w:left="1760" w:hanging="360"/>
      </w:pPr>
      <w:rPr>
        <w:rFonts w:ascii="Courier New" w:hAnsi="Courier New" w:cs="Courier New" w:hint="default"/>
      </w:rPr>
    </w:lvl>
    <w:lvl w:ilvl="2" w:tplc="04190005" w:tentative="1">
      <w:start w:val="1"/>
      <w:numFmt w:val="bullet"/>
      <w:lvlText w:val=""/>
      <w:lvlJc w:val="left"/>
      <w:pPr>
        <w:tabs>
          <w:tab w:val="num" w:pos="2480"/>
        </w:tabs>
        <w:ind w:left="2480" w:hanging="360"/>
      </w:pPr>
      <w:rPr>
        <w:rFonts w:ascii="Wingdings" w:hAnsi="Wingdings" w:hint="default"/>
      </w:rPr>
    </w:lvl>
    <w:lvl w:ilvl="3" w:tplc="04190001" w:tentative="1">
      <w:start w:val="1"/>
      <w:numFmt w:val="bullet"/>
      <w:lvlText w:val=""/>
      <w:lvlJc w:val="left"/>
      <w:pPr>
        <w:tabs>
          <w:tab w:val="num" w:pos="3200"/>
        </w:tabs>
        <w:ind w:left="3200" w:hanging="360"/>
      </w:pPr>
      <w:rPr>
        <w:rFonts w:ascii="Symbol" w:hAnsi="Symbol" w:hint="default"/>
      </w:rPr>
    </w:lvl>
    <w:lvl w:ilvl="4" w:tplc="04190003" w:tentative="1">
      <w:start w:val="1"/>
      <w:numFmt w:val="bullet"/>
      <w:lvlText w:val="o"/>
      <w:lvlJc w:val="left"/>
      <w:pPr>
        <w:tabs>
          <w:tab w:val="num" w:pos="3920"/>
        </w:tabs>
        <w:ind w:left="3920" w:hanging="360"/>
      </w:pPr>
      <w:rPr>
        <w:rFonts w:ascii="Courier New" w:hAnsi="Courier New" w:cs="Courier New" w:hint="default"/>
      </w:rPr>
    </w:lvl>
    <w:lvl w:ilvl="5" w:tplc="04190005" w:tentative="1">
      <w:start w:val="1"/>
      <w:numFmt w:val="bullet"/>
      <w:lvlText w:val=""/>
      <w:lvlJc w:val="left"/>
      <w:pPr>
        <w:tabs>
          <w:tab w:val="num" w:pos="4640"/>
        </w:tabs>
        <w:ind w:left="4640" w:hanging="360"/>
      </w:pPr>
      <w:rPr>
        <w:rFonts w:ascii="Wingdings" w:hAnsi="Wingdings" w:hint="default"/>
      </w:rPr>
    </w:lvl>
    <w:lvl w:ilvl="6" w:tplc="04190001" w:tentative="1">
      <w:start w:val="1"/>
      <w:numFmt w:val="bullet"/>
      <w:lvlText w:val=""/>
      <w:lvlJc w:val="left"/>
      <w:pPr>
        <w:tabs>
          <w:tab w:val="num" w:pos="5360"/>
        </w:tabs>
        <w:ind w:left="5360" w:hanging="360"/>
      </w:pPr>
      <w:rPr>
        <w:rFonts w:ascii="Symbol" w:hAnsi="Symbol" w:hint="default"/>
      </w:rPr>
    </w:lvl>
    <w:lvl w:ilvl="7" w:tplc="04190003" w:tentative="1">
      <w:start w:val="1"/>
      <w:numFmt w:val="bullet"/>
      <w:lvlText w:val="o"/>
      <w:lvlJc w:val="left"/>
      <w:pPr>
        <w:tabs>
          <w:tab w:val="num" w:pos="6080"/>
        </w:tabs>
        <w:ind w:left="6080" w:hanging="360"/>
      </w:pPr>
      <w:rPr>
        <w:rFonts w:ascii="Courier New" w:hAnsi="Courier New" w:cs="Courier New" w:hint="default"/>
      </w:rPr>
    </w:lvl>
    <w:lvl w:ilvl="8" w:tplc="04190005" w:tentative="1">
      <w:start w:val="1"/>
      <w:numFmt w:val="bullet"/>
      <w:lvlText w:val=""/>
      <w:lvlJc w:val="left"/>
      <w:pPr>
        <w:tabs>
          <w:tab w:val="num" w:pos="6800"/>
        </w:tabs>
        <w:ind w:left="6800" w:hanging="360"/>
      </w:pPr>
      <w:rPr>
        <w:rFonts w:ascii="Wingdings" w:hAnsi="Wingdings" w:hint="default"/>
      </w:rPr>
    </w:lvl>
  </w:abstractNum>
  <w:abstractNum w:abstractNumId="18">
    <w:nsid w:val="4F5E01FE"/>
    <w:multiLevelType w:val="hybridMultilevel"/>
    <w:tmpl w:val="39AE1B4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57E705C6"/>
    <w:multiLevelType w:val="hybridMultilevel"/>
    <w:tmpl w:val="6D723440"/>
    <w:lvl w:ilvl="0" w:tplc="CA9E8A2A">
      <w:start w:val="1"/>
      <w:numFmt w:val="bullet"/>
      <w:lvlText w:val="–"/>
      <w:lvlJc w:val="left"/>
      <w:pPr>
        <w:tabs>
          <w:tab w:val="num" w:pos="1571"/>
        </w:tabs>
        <w:ind w:left="1571"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8B909B3"/>
    <w:multiLevelType w:val="hybridMultilevel"/>
    <w:tmpl w:val="A5CE82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58C84159"/>
    <w:multiLevelType w:val="hybridMultilevel"/>
    <w:tmpl w:val="ADCE62C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P MathA"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P MathA"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P MathA"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662D18BB"/>
    <w:multiLevelType w:val="hybridMultilevel"/>
    <w:tmpl w:val="FEBC1EA0"/>
    <w:lvl w:ilvl="0" w:tplc="0419000F">
      <w:start w:val="1"/>
      <w:numFmt w:val="decimal"/>
      <w:lvlText w:val="%1."/>
      <w:lvlJc w:val="left"/>
      <w:pPr>
        <w:tabs>
          <w:tab w:val="num" w:pos="1425"/>
        </w:tabs>
        <w:ind w:left="1425" w:hanging="360"/>
      </w:pPr>
    </w:lvl>
    <w:lvl w:ilvl="1" w:tplc="04190019" w:tentative="1">
      <w:start w:val="1"/>
      <w:numFmt w:val="lowerLetter"/>
      <w:lvlText w:val="%2."/>
      <w:lvlJc w:val="left"/>
      <w:pPr>
        <w:tabs>
          <w:tab w:val="num" w:pos="2145"/>
        </w:tabs>
        <w:ind w:left="2145" w:hanging="360"/>
      </w:pPr>
    </w:lvl>
    <w:lvl w:ilvl="2" w:tplc="0419001B" w:tentative="1">
      <w:start w:val="1"/>
      <w:numFmt w:val="lowerRoman"/>
      <w:lvlText w:val="%3."/>
      <w:lvlJc w:val="right"/>
      <w:pPr>
        <w:tabs>
          <w:tab w:val="num" w:pos="2865"/>
        </w:tabs>
        <w:ind w:left="2865" w:hanging="180"/>
      </w:pPr>
    </w:lvl>
    <w:lvl w:ilvl="3" w:tplc="0419000F" w:tentative="1">
      <w:start w:val="1"/>
      <w:numFmt w:val="decimal"/>
      <w:lvlText w:val="%4."/>
      <w:lvlJc w:val="left"/>
      <w:pPr>
        <w:tabs>
          <w:tab w:val="num" w:pos="3585"/>
        </w:tabs>
        <w:ind w:left="3585" w:hanging="360"/>
      </w:pPr>
    </w:lvl>
    <w:lvl w:ilvl="4" w:tplc="04190019" w:tentative="1">
      <w:start w:val="1"/>
      <w:numFmt w:val="lowerLetter"/>
      <w:lvlText w:val="%5."/>
      <w:lvlJc w:val="left"/>
      <w:pPr>
        <w:tabs>
          <w:tab w:val="num" w:pos="4305"/>
        </w:tabs>
        <w:ind w:left="4305" w:hanging="360"/>
      </w:pPr>
    </w:lvl>
    <w:lvl w:ilvl="5" w:tplc="0419001B" w:tentative="1">
      <w:start w:val="1"/>
      <w:numFmt w:val="lowerRoman"/>
      <w:lvlText w:val="%6."/>
      <w:lvlJc w:val="right"/>
      <w:pPr>
        <w:tabs>
          <w:tab w:val="num" w:pos="5025"/>
        </w:tabs>
        <w:ind w:left="5025" w:hanging="180"/>
      </w:pPr>
    </w:lvl>
    <w:lvl w:ilvl="6" w:tplc="0419000F" w:tentative="1">
      <w:start w:val="1"/>
      <w:numFmt w:val="decimal"/>
      <w:lvlText w:val="%7."/>
      <w:lvlJc w:val="left"/>
      <w:pPr>
        <w:tabs>
          <w:tab w:val="num" w:pos="5745"/>
        </w:tabs>
        <w:ind w:left="5745" w:hanging="360"/>
      </w:pPr>
    </w:lvl>
    <w:lvl w:ilvl="7" w:tplc="04190019" w:tentative="1">
      <w:start w:val="1"/>
      <w:numFmt w:val="lowerLetter"/>
      <w:lvlText w:val="%8."/>
      <w:lvlJc w:val="left"/>
      <w:pPr>
        <w:tabs>
          <w:tab w:val="num" w:pos="6465"/>
        </w:tabs>
        <w:ind w:left="6465" w:hanging="360"/>
      </w:pPr>
    </w:lvl>
    <w:lvl w:ilvl="8" w:tplc="0419001B" w:tentative="1">
      <w:start w:val="1"/>
      <w:numFmt w:val="lowerRoman"/>
      <w:lvlText w:val="%9."/>
      <w:lvlJc w:val="right"/>
      <w:pPr>
        <w:tabs>
          <w:tab w:val="num" w:pos="7185"/>
        </w:tabs>
        <w:ind w:left="7185" w:hanging="180"/>
      </w:pPr>
    </w:lvl>
  </w:abstractNum>
  <w:abstractNum w:abstractNumId="23">
    <w:nsid w:val="69D55499"/>
    <w:multiLevelType w:val="hybridMultilevel"/>
    <w:tmpl w:val="14C8C436"/>
    <w:lvl w:ilvl="0" w:tplc="F708A70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BDB026A"/>
    <w:multiLevelType w:val="hybridMultilevel"/>
    <w:tmpl w:val="10C255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D175135"/>
    <w:multiLevelType w:val="singleLevel"/>
    <w:tmpl w:val="0419000F"/>
    <w:lvl w:ilvl="0">
      <w:start w:val="1"/>
      <w:numFmt w:val="decimal"/>
      <w:lvlText w:val="%1."/>
      <w:lvlJc w:val="left"/>
      <w:pPr>
        <w:tabs>
          <w:tab w:val="num" w:pos="360"/>
        </w:tabs>
        <w:ind w:left="360" w:hanging="360"/>
      </w:pPr>
      <w:rPr>
        <w:rFonts w:hint="default"/>
      </w:rPr>
    </w:lvl>
  </w:abstractNum>
  <w:abstractNum w:abstractNumId="26">
    <w:nsid w:val="70746B46"/>
    <w:multiLevelType w:val="hybridMultilevel"/>
    <w:tmpl w:val="09E4D3AC"/>
    <w:lvl w:ilvl="0" w:tplc="6BF287E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7ED20F2"/>
    <w:multiLevelType w:val="singleLevel"/>
    <w:tmpl w:val="0419000F"/>
    <w:lvl w:ilvl="0">
      <w:start w:val="1"/>
      <w:numFmt w:val="decimal"/>
      <w:lvlText w:val="%1."/>
      <w:lvlJc w:val="left"/>
      <w:pPr>
        <w:tabs>
          <w:tab w:val="num" w:pos="360"/>
        </w:tabs>
        <w:ind w:left="360" w:hanging="360"/>
      </w:pPr>
      <w:rPr>
        <w:rFonts w:hint="default"/>
      </w:rPr>
    </w:lvl>
  </w:abstractNum>
  <w:abstractNum w:abstractNumId="28">
    <w:nsid w:val="79A57FF3"/>
    <w:multiLevelType w:val="hybridMultilevel"/>
    <w:tmpl w:val="2A5C7C56"/>
    <w:lvl w:ilvl="0" w:tplc="5146619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9EB02BC"/>
    <w:multiLevelType w:val="hybridMultilevel"/>
    <w:tmpl w:val="2FC88B74"/>
    <w:lvl w:ilvl="0" w:tplc="CA9E8A2A">
      <w:start w:val="1"/>
      <w:numFmt w:val="bullet"/>
      <w:lvlText w:val="–"/>
      <w:lvlJc w:val="left"/>
      <w:pPr>
        <w:tabs>
          <w:tab w:val="num" w:pos="1571"/>
        </w:tabs>
        <w:ind w:left="1571"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CDC607B"/>
    <w:multiLevelType w:val="hybridMultilevel"/>
    <w:tmpl w:val="0EC0222E"/>
    <w:lvl w:ilvl="0" w:tplc="CA9E8A2A">
      <w:start w:val="1"/>
      <w:numFmt w:val="bullet"/>
      <w:lvlText w:val="–"/>
      <w:lvlJc w:val="left"/>
      <w:pPr>
        <w:tabs>
          <w:tab w:val="num" w:pos="1571"/>
        </w:tabs>
        <w:ind w:left="1571"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7F60522C"/>
    <w:multiLevelType w:val="singleLevel"/>
    <w:tmpl w:val="C450BD94"/>
    <w:lvl w:ilvl="0">
      <w:start w:val="1"/>
      <w:numFmt w:val="decimal"/>
      <w:lvlText w:val="%1"/>
      <w:lvlJc w:val="left"/>
      <w:pPr>
        <w:ind w:left="720" w:hanging="360"/>
      </w:pPr>
      <w:rPr>
        <w:rFonts w:hint="default"/>
      </w:rPr>
    </w:lvl>
  </w:abstractNum>
  <w:num w:numId="1">
    <w:abstractNumId w:val="25"/>
  </w:num>
  <w:num w:numId="2">
    <w:abstractNumId w:val="27"/>
  </w:num>
  <w:num w:numId="3">
    <w:abstractNumId w:val="21"/>
  </w:num>
  <w:num w:numId="4">
    <w:abstractNumId w:val="8"/>
  </w:num>
  <w:num w:numId="5">
    <w:abstractNumId w:val="11"/>
  </w:num>
  <w:num w:numId="6">
    <w:abstractNumId w:val="15"/>
  </w:num>
  <w:num w:numId="7">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8">
    <w:abstractNumId w:val="3"/>
  </w:num>
  <w:num w:numId="9">
    <w:abstractNumId w:val="16"/>
  </w:num>
  <w:num w:numId="10">
    <w:abstractNumId w:val="31"/>
  </w:num>
  <w:num w:numId="11">
    <w:abstractNumId w:val="17"/>
  </w:num>
  <w:num w:numId="12">
    <w:abstractNumId w:val="20"/>
  </w:num>
  <w:num w:numId="13">
    <w:abstractNumId w:val="18"/>
  </w:num>
  <w:num w:numId="14">
    <w:abstractNumId w:val="24"/>
  </w:num>
  <w:num w:numId="15">
    <w:abstractNumId w:val="28"/>
  </w:num>
  <w:num w:numId="16">
    <w:abstractNumId w:val="12"/>
  </w:num>
  <w:num w:numId="17">
    <w:abstractNumId w:val="5"/>
  </w:num>
  <w:num w:numId="18">
    <w:abstractNumId w:val="22"/>
  </w:num>
  <w:num w:numId="19">
    <w:abstractNumId w:val="1"/>
    <w:lvlOverride w:ilvl="0">
      <w:lvl w:ilvl="0">
        <w:start w:val="1"/>
        <w:numFmt w:val="bullet"/>
        <w:lvlText w:val=""/>
        <w:legacy w:legacy="1" w:legacySpace="0" w:legacyIndent="283"/>
        <w:lvlJc w:val="left"/>
        <w:pPr>
          <w:ind w:left="623" w:hanging="283"/>
        </w:pPr>
        <w:rPr>
          <w:rFonts w:ascii="Wingdings" w:hAnsi="Wingdings" w:hint="default"/>
          <w:b w:val="0"/>
          <w:i w:val="0"/>
          <w:sz w:val="24"/>
        </w:rPr>
      </w:lvl>
    </w:lvlOverride>
  </w:num>
  <w:num w:numId="20">
    <w:abstractNumId w:val="1"/>
    <w:lvlOverride w:ilvl="0">
      <w:lvl w:ilvl="0">
        <w:start w:val="1"/>
        <w:numFmt w:val="bullet"/>
        <w:lvlText w:val=""/>
        <w:legacy w:legacy="1" w:legacySpace="0" w:legacyIndent="283"/>
        <w:lvlJc w:val="left"/>
        <w:pPr>
          <w:ind w:left="623" w:hanging="283"/>
        </w:pPr>
        <w:rPr>
          <w:rFonts w:ascii="Wingdings" w:hAnsi="Wingdings" w:hint="default"/>
          <w:b w:val="0"/>
          <w:i w:val="0"/>
          <w:sz w:val="20"/>
        </w:rPr>
      </w:lvl>
    </w:lvlOverride>
  </w:num>
  <w:num w:numId="21">
    <w:abstractNumId w:val="29"/>
  </w:num>
  <w:num w:numId="22">
    <w:abstractNumId w:val="13"/>
  </w:num>
  <w:num w:numId="23">
    <w:abstractNumId w:val="7"/>
  </w:num>
  <w:num w:numId="24">
    <w:abstractNumId w:val="19"/>
  </w:num>
  <w:num w:numId="25">
    <w:abstractNumId w:val="2"/>
  </w:num>
  <w:num w:numId="26">
    <w:abstractNumId w:val="30"/>
  </w:num>
  <w:num w:numId="27">
    <w:abstractNumId w:val="4"/>
  </w:num>
  <w:num w:numId="28">
    <w:abstractNumId w:val="10"/>
  </w:num>
  <w:num w:numId="29">
    <w:abstractNumId w:val="14"/>
  </w:num>
  <w:num w:numId="30">
    <w:abstractNumId w:val="26"/>
  </w:num>
  <w:num w:numId="31">
    <w:abstractNumId w:val="9"/>
  </w:num>
  <w:num w:numId="32">
    <w:abstractNumId w:val="6"/>
  </w:num>
  <w:num w:numId="33">
    <w:abstractNumId w:val="23"/>
  </w:num>
  <w:num w:numId="3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08"/>
  <w:characterSpacingControl w:val="doNotCompress"/>
  <w:compat>
    <w:useFELayout/>
  </w:compat>
  <w:rsids>
    <w:rsidRoot w:val="00126FD8"/>
    <w:rsid w:val="00126FD8"/>
    <w:rsid w:val="00C373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table of authorities" w:uiPriority="0"/>
    <w:lsdException w:name="List Bullet"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qFormat/>
    <w:rsid w:val="00126FD8"/>
    <w:pPr>
      <w:keepNext/>
      <w:spacing w:after="0" w:line="240" w:lineRule="auto"/>
      <w:jc w:val="both"/>
      <w:outlineLvl w:val="0"/>
    </w:pPr>
    <w:rPr>
      <w:rFonts w:ascii="Times New Roman" w:eastAsia="Times New Roman" w:hAnsi="Times New Roman" w:cs="Times New Roman"/>
      <w:sz w:val="24"/>
      <w:szCs w:val="20"/>
      <w:lang w:val="en-US" w:eastAsia="ja-JP"/>
    </w:rPr>
  </w:style>
  <w:style w:type="paragraph" w:styleId="2">
    <w:name w:val="heading 2"/>
    <w:aliases w:val="Заголовок 2 Знак Знак"/>
    <w:basedOn w:val="a0"/>
    <w:next w:val="a0"/>
    <w:link w:val="20"/>
    <w:qFormat/>
    <w:rsid w:val="00126FD8"/>
    <w:pPr>
      <w:keepNext/>
      <w:widowControl w:val="0"/>
      <w:spacing w:before="120" w:after="120" w:line="240" w:lineRule="auto"/>
      <w:outlineLvl w:val="1"/>
    </w:pPr>
    <w:rPr>
      <w:rFonts w:ascii="Times New Roman" w:eastAsia="Times New Roman" w:hAnsi="Times New Roman" w:cs="Times New Roman"/>
      <w:b/>
      <w:i/>
      <w:smallCaps/>
      <w:snapToGrid w:val="0"/>
      <w:sz w:val="28"/>
      <w:szCs w:val="28"/>
    </w:rPr>
  </w:style>
  <w:style w:type="paragraph" w:styleId="3">
    <w:name w:val="heading 3"/>
    <w:basedOn w:val="a0"/>
    <w:next w:val="a0"/>
    <w:link w:val="30"/>
    <w:qFormat/>
    <w:rsid w:val="00126FD8"/>
    <w:pPr>
      <w:keepNext/>
      <w:spacing w:before="240" w:after="60" w:line="240" w:lineRule="auto"/>
      <w:outlineLvl w:val="2"/>
    </w:pPr>
    <w:rPr>
      <w:rFonts w:ascii="Arial" w:eastAsia="Times New Roman" w:hAnsi="Arial" w:cs="Arial"/>
      <w:b/>
      <w:bCs/>
      <w:sz w:val="26"/>
      <w:szCs w:val="26"/>
      <w:lang w:eastAsia="ja-JP"/>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0">
    <w:name w:val="Заголовок 1 Знак"/>
    <w:basedOn w:val="a1"/>
    <w:link w:val="1"/>
    <w:rsid w:val="00126FD8"/>
    <w:rPr>
      <w:rFonts w:ascii="Times New Roman" w:eastAsia="Times New Roman" w:hAnsi="Times New Roman" w:cs="Times New Roman"/>
      <w:sz w:val="24"/>
      <w:szCs w:val="20"/>
      <w:lang w:val="en-US" w:eastAsia="ja-JP"/>
    </w:rPr>
  </w:style>
  <w:style w:type="character" w:customStyle="1" w:styleId="20">
    <w:name w:val="Заголовок 2 Знак"/>
    <w:aliases w:val="Заголовок 2 Знак Знак Знак"/>
    <w:basedOn w:val="a1"/>
    <w:link w:val="2"/>
    <w:rsid w:val="00126FD8"/>
    <w:rPr>
      <w:rFonts w:ascii="Times New Roman" w:eastAsia="Times New Roman" w:hAnsi="Times New Roman" w:cs="Times New Roman"/>
      <w:b/>
      <w:i/>
      <w:smallCaps/>
      <w:snapToGrid w:val="0"/>
      <w:sz w:val="28"/>
      <w:szCs w:val="28"/>
    </w:rPr>
  </w:style>
  <w:style w:type="character" w:customStyle="1" w:styleId="30">
    <w:name w:val="Заголовок 3 Знак"/>
    <w:basedOn w:val="a1"/>
    <w:link w:val="3"/>
    <w:rsid w:val="00126FD8"/>
    <w:rPr>
      <w:rFonts w:ascii="Arial" w:eastAsia="Times New Roman" w:hAnsi="Arial" w:cs="Arial"/>
      <w:b/>
      <w:bCs/>
      <w:sz w:val="26"/>
      <w:szCs w:val="26"/>
      <w:lang w:eastAsia="ja-JP"/>
    </w:rPr>
  </w:style>
  <w:style w:type="paragraph" w:styleId="a4">
    <w:name w:val="Title"/>
    <w:basedOn w:val="a0"/>
    <w:link w:val="a5"/>
    <w:qFormat/>
    <w:rsid w:val="00126FD8"/>
    <w:pPr>
      <w:spacing w:after="0" w:line="240" w:lineRule="auto"/>
      <w:jc w:val="center"/>
    </w:pPr>
    <w:rPr>
      <w:rFonts w:ascii="Times New Roman" w:eastAsia="Times New Roman" w:hAnsi="Times New Roman" w:cs="Times New Roman"/>
      <w:sz w:val="24"/>
      <w:szCs w:val="20"/>
      <w:lang w:eastAsia="ja-JP"/>
    </w:rPr>
  </w:style>
  <w:style w:type="character" w:customStyle="1" w:styleId="a5">
    <w:name w:val="Название Знак"/>
    <w:basedOn w:val="a1"/>
    <w:link w:val="a4"/>
    <w:rsid w:val="00126FD8"/>
    <w:rPr>
      <w:rFonts w:ascii="Times New Roman" w:eastAsia="Times New Roman" w:hAnsi="Times New Roman" w:cs="Times New Roman"/>
      <w:sz w:val="24"/>
      <w:szCs w:val="20"/>
      <w:lang w:eastAsia="ja-JP"/>
    </w:rPr>
  </w:style>
  <w:style w:type="paragraph" w:styleId="a6">
    <w:name w:val="Body Text"/>
    <w:basedOn w:val="a0"/>
    <w:link w:val="11"/>
    <w:rsid w:val="00126FD8"/>
    <w:pPr>
      <w:spacing w:after="0" w:line="240" w:lineRule="auto"/>
      <w:jc w:val="both"/>
    </w:pPr>
    <w:rPr>
      <w:rFonts w:ascii="Times New Roman" w:eastAsia="Times New Roman" w:hAnsi="Times New Roman" w:cs="Times New Roman"/>
      <w:sz w:val="24"/>
      <w:szCs w:val="20"/>
      <w:lang w:eastAsia="ja-JP"/>
    </w:rPr>
  </w:style>
  <w:style w:type="character" w:customStyle="1" w:styleId="a7">
    <w:name w:val="Основной текст Знак"/>
    <w:basedOn w:val="a1"/>
    <w:link w:val="a6"/>
    <w:uiPriority w:val="99"/>
    <w:semiHidden/>
    <w:rsid w:val="00126FD8"/>
  </w:style>
  <w:style w:type="character" w:customStyle="1" w:styleId="11">
    <w:name w:val="Основной текст Знак1"/>
    <w:aliases w:val="Основной текст Знак Знак"/>
    <w:basedOn w:val="a1"/>
    <w:link w:val="a6"/>
    <w:rsid w:val="00126FD8"/>
    <w:rPr>
      <w:rFonts w:ascii="Times New Roman" w:eastAsia="Times New Roman" w:hAnsi="Times New Roman" w:cs="Times New Roman"/>
      <w:sz w:val="24"/>
      <w:szCs w:val="20"/>
      <w:lang w:eastAsia="ja-JP"/>
    </w:rPr>
  </w:style>
  <w:style w:type="character" w:styleId="a8">
    <w:name w:val="Hyperlink"/>
    <w:basedOn w:val="a1"/>
    <w:rsid w:val="00126FD8"/>
    <w:rPr>
      <w:color w:val="0000FF"/>
      <w:u w:val="single"/>
    </w:rPr>
  </w:style>
  <w:style w:type="paragraph" w:styleId="a9">
    <w:name w:val="caption"/>
    <w:basedOn w:val="a0"/>
    <w:next w:val="a0"/>
    <w:qFormat/>
    <w:rsid w:val="00126FD8"/>
    <w:pPr>
      <w:spacing w:after="0" w:line="240" w:lineRule="auto"/>
      <w:ind w:firstLine="720"/>
      <w:jc w:val="both"/>
    </w:pPr>
    <w:rPr>
      <w:rFonts w:ascii="Times New Roman" w:eastAsia="Times New Roman" w:hAnsi="Times New Roman" w:cs="Times New Roman"/>
      <w:sz w:val="24"/>
      <w:szCs w:val="20"/>
      <w:lang w:eastAsia="ja-JP"/>
    </w:rPr>
  </w:style>
  <w:style w:type="paragraph" w:customStyle="1" w:styleId="FR1">
    <w:name w:val="FR1"/>
    <w:rsid w:val="00126FD8"/>
    <w:pPr>
      <w:widowControl w:val="0"/>
      <w:spacing w:after="0" w:line="240" w:lineRule="auto"/>
      <w:ind w:left="80"/>
      <w:jc w:val="center"/>
    </w:pPr>
    <w:rPr>
      <w:rFonts w:ascii="Arial" w:eastAsia="Times New Roman" w:hAnsi="Arial" w:cs="Times New Roman"/>
      <w:b/>
      <w:snapToGrid w:val="0"/>
      <w:sz w:val="16"/>
      <w:szCs w:val="20"/>
    </w:rPr>
  </w:style>
  <w:style w:type="paragraph" w:styleId="aa">
    <w:name w:val="Subtitle"/>
    <w:basedOn w:val="a0"/>
    <w:link w:val="ab"/>
    <w:qFormat/>
    <w:rsid w:val="00126FD8"/>
    <w:pPr>
      <w:spacing w:after="0" w:line="360" w:lineRule="auto"/>
      <w:ind w:firstLine="851"/>
      <w:jc w:val="both"/>
    </w:pPr>
    <w:rPr>
      <w:rFonts w:ascii="Times New Roman" w:eastAsia="Times New Roman" w:hAnsi="Times New Roman" w:cs="Times New Roman"/>
      <w:sz w:val="28"/>
      <w:szCs w:val="20"/>
      <w:lang w:eastAsia="ja-JP"/>
    </w:rPr>
  </w:style>
  <w:style w:type="character" w:customStyle="1" w:styleId="ab">
    <w:name w:val="Подзаголовок Знак"/>
    <w:basedOn w:val="a1"/>
    <w:link w:val="aa"/>
    <w:rsid w:val="00126FD8"/>
    <w:rPr>
      <w:rFonts w:ascii="Times New Roman" w:eastAsia="Times New Roman" w:hAnsi="Times New Roman" w:cs="Times New Roman"/>
      <w:sz w:val="28"/>
      <w:szCs w:val="20"/>
      <w:lang w:eastAsia="ja-JP"/>
    </w:rPr>
  </w:style>
  <w:style w:type="paragraph" w:styleId="ac">
    <w:name w:val="Signature"/>
    <w:basedOn w:val="a0"/>
    <w:link w:val="ad"/>
    <w:rsid w:val="00126FD8"/>
    <w:pPr>
      <w:widowControl w:val="0"/>
      <w:spacing w:after="0" w:line="240" w:lineRule="auto"/>
      <w:jc w:val="center"/>
    </w:pPr>
    <w:rPr>
      <w:rFonts w:ascii="Times New Roman" w:eastAsia="Times New Roman" w:hAnsi="Times New Roman" w:cs="Times New Roman"/>
      <w:snapToGrid w:val="0"/>
      <w:sz w:val="24"/>
      <w:szCs w:val="20"/>
    </w:rPr>
  </w:style>
  <w:style w:type="character" w:customStyle="1" w:styleId="ad">
    <w:name w:val="Подпись Знак"/>
    <w:basedOn w:val="a1"/>
    <w:link w:val="ac"/>
    <w:rsid w:val="00126FD8"/>
    <w:rPr>
      <w:rFonts w:ascii="Times New Roman" w:eastAsia="Times New Roman" w:hAnsi="Times New Roman" w:cs="Times New Roman"/>
      <w:snapToGrid w:val="0"/>
      <w:sz w:val="24"/>
      <w:szCs w:val="20"/>
    </w:rPr>
  </w:style>
  <w:style w:type="paragraph" w:customStyle="1" w:styleId="FR2">
    <w:name w:val="FR2"/>
    <w:rsid w:val="00126FD8"/>
    <w:pPr>
      <w:widowControl w:val="0"/>
      <w:spacing w:before="140" w:after="0" w:line="240" w:lineRule="auto"/>
      <w:jc w:val="both"/>
    </w:pPr>
    <w:rPr>
      <w:rFonts w:ascii="Times New Roman" w:eastAsia="Times New Roman" w:hAnsi="Times New Roman" w:cs="Times New Roman"/>
      <w:b/>
      <w:snapToGrid w:val="0"/>
      <w:sz w:val="16"/>
      <w:szCs w:val="20"/>
    </w:rPr>
  </w:style>
  <w:style w:type="paragraph" w:styleId="ae">
    <w:name w:val="table of authorities"/>
    <w:basedOn w:val="a0"/>
    <w:next w:val="a0"/>
    <w:semiHidden/>
    <w:rsid w:val="00126FD8"/>
    <w:pPr>
      <w:spacing w:after="0" w:line="240" w:lineRule="auto"/>
      <w:jc w:val="right"/>
    </w:pPr>
    <w:rPr>
      <w:rFonts w:ascii="Times New Roman" w:eastAsia="Times New Roman" w:hAnsi="Times New Roman" w:cs="Times New Roman"/>
      <w:sz w:val="28"/>
      <w:szCs w:val="20"/>
      <w:lang w:eastAsia="ja-JP"/>
    </w:rPr>
  </w:style>
  <w:style w:type="paragraph" w:styleId="af">
    <w:name w:val="Body Text Indent"/>
    <w:basedOn w:val="a0"/>
    <w:link w:val="af0"/>
    <w:rsid w:val="00126FD8"/>
    <w:pPr>
      <w:widowControl w:val="0"/>
      <w:spacing w:after="0" w:line="240" w:lineRule="auto"/>
      <w:ind w:firstLine="851"/>
      <w:jc w:val="both"/>
    </w:pPr>
    <w:rPr>
      <w:rFonts w:ascii="Times New Roman" w:eastAsia="Times New Roman" w:hAnsi="Times New Roman" w:cs="Times New Roman"/>
      <w:snapToGrid w:val="0"/>
      <w:sz w:val="28"/>
      <w:szCs w:val="20"/>
    </w:rPr>
  </w:style>
  <w:style w:type="character" w:customStyle="1" w:styleId="af0">
    <w:name w:val="Основной текст с отступом Знак"/>
    <w:basedOn w:val="a1"/>
    <w:link w:val="af"/>
    <w:rsid w:val="00126FD8"/>
    <w:rPr>
      <w:rFonts w:ascii="Times New Roman" w:eastAsia="Times New Roman" w:hAnsi="Times New Roman" w:cs="Times New Roman"/>
      <w:snapToGrid w:val="0"/>
      <w:sz w:val="28"/>
      <w:szCs w:val="20"/>
    </w:rPr>
  </w:style>
  <w:style w:type="paragraph" w:customStyle="1" w:styleId="Normal">
    <w:name w:val="Normal Знак"/>
    <w:link w:val="Normal0"/>
    <w:rsid w:val="00126FD8"/>
    <w:pPr>
      <w:widowControl w:val="0"/>
      <w:spacing w:after="0" w:line="240" w:lineRule="auto"/>
    </w:pPr>
    <w:rPr>
      <w:rFonts w:ascii="Times New Roman" w:eastAsia="Times New Roman" w:hAnsi="Times New Roman" w:cs="Times New Roman"/>
      <w:snapToGrid w:val="0"/>
      <w:sz w:val="20"/>
      <w:szCs w:val="20"/>
    </w:rPr>
  </w:style>
  <w:style w:type="character" w:customStyle="1" w:styleId="Normal0">
    <w:name w:val="Normal Знак Знак"/>
    <w:basedOn w:val="a1"/>
    <w:link w:val="Normal"/>
    <w:rsid w:val="00126FD8"/>
    <w:rPr>
      <w:rFonts w:ascii="Times New Roman" w:eastAsia="Times New Roman" w:hAnsi="Times New Roman" w:cs="Times New Roman"/>
      <w:snapToGrid w:val="0"/>
      <w:sz w:val="20"/>
      <w:szCs w:val="20"/>
    </w:rPr>
  </w:style>
  <w:style w:type="character" w:styleId="af1">
    <w:name w:val="page number"/>
    <w:basedOn w:val="a1"/>
    <w:rsid w:val="00126FD8"/>
  </w:style>
  <w:style w:type="paragraph" w:styleId="af2">
    <w:name w:val="footer"/>
    <w:basedOn w:val="a0"/>
    <w:link w:val="af3"/>
    <w:rsid w:val="00126FD8"/>
    <w:pPr>
      <w:widowControl w:val="0"/>
      <w:tabs>
        <w:tab w:val="center" w:pos="4153"/>
        <w:tab w:val="right" w:pos="8306"/>
      </w:tabs>
      <w:spacing w:after="0" w:line="240" w:lineRule="auto"/>
      <w:ind w:firstLine="300"/>
      <w:jc w:val="both"/>
    </w:pPr>
    <w:rPr>
      <w:rFonts w:ascii="Times New Roman" w:eastAsia="Times New Roman" w:hAnsi="Times New Roman" w:cs="Times New Roman"/>
      <w:snapToGrid w:val="0"/>
      <w:sz w:val="20"/>
      <w:szCs w:val="20"/>
    </w:rPr>
  </w:style>
  <w:style w:type="character" w:customStyle="1" w:styleId="af3">
    <w:name w:val="Нижний колонтитул Знак"/>
    <w:basedOn w:val="a1"/>
    <w:link w:val="af2"/>
    <w:rsid w:val="00126FD8"/>
    <w:rPr>
      <w:rFonts w:ascii="Times New Roman" w:eastAsia="Times New Roman" w:hAnsi="Times New Roman" w:cs="Times New Roman"/>
      <w:snapToGrid w:val="0"/>
      <w:sz w:val="20"/>
      <w:szCs w:val="20"/>
    </w:rPr>
  </w:style>
  <w:style w:type="paragraph" w:customStyle="1" w:styleId="FR3">
    <w:name w:val="FR3"/>
    <w:rsid w:val="00126FD8"/>
    <w:pPr>
      <w:widowControl w:val="0"/>
      <w:spacing w:before="100" w:after="0" w:line="240" w:lineRule="auto"/>
      <w:ind w:left="2200" w:right="2200"/>
      <w:jc w:val="center"/>
    </w:pPr>
    <w:rPr>
      <w:rFonts w:ascii="Times New Roman" w:eastAsia="Times New Roman" w:hAnsi="Times New Roman" w:cs="Times New Roman"/>
      <w:snapToGrid w:val="0"/>
      <w:sz w:val="12"/>
      <w:szCs w:val="20"/>
    </w:rPr>
  </w:style>
  <w:style w:type="paragraph" w:styleId="21">
    <w:name w:val="Body Text 2"/>
    <w:basedOn w:val="a0"/>
    <w:link w:val="22"/>
    <w:rsid w:val="00126FD8"/>
    <w:pPr>
      <w:spacing w:after="0" w:line="360" w:lineRule="auto"/>
      <w:jc w:val="both"/>
    </w:pPr>
    <w:rPr>
      <w:rFonts w:ascii="Times New Roman" w:eastAsia="Times New Roman" w:hAnsi="Times New Roman" w:cs="Times New Roman"/>
      <w:sz w:val="28"/>
      <w:szCs w:val="20"/>
      <w:lang w:eastAsia="ja-JP"/>
    </w:rPr>
  </w:style>
  <w:style w:type="character" w:customStyle="1" w:styleId="22">
    <w:name w:val="Основной текст 2 Знак"/>
    <w:basedOn w:val="a1"/>
    <w:link w:val="21"/>
    <w:rsid w:val="00126FD8"/>
    <w:rPr>
      <w:rFonts w:ascii="Times New Roman" w:eastAsia="Times New Roman" w:hAnsi="Times New Roman" w:cs="Times New Roman"/>
      <w:sz w:val="28"/>
      <w:szCs w:val="20"/>
      <w:lang w:eastAsia="ja-JP"/>
    </w:rPr>
  </w:style>
  <w:style w:type="paragraph" w:customStyle="1" w:styleId="BodyTextIndent3">
    <w:name w:val="Body Text Indent 3"/>
    <w:basedOn w:val="a0"/>
    <w:rsid w:val="00126FD8"/>
    <w:pPr>
      <w:spacing w:after="0" w:line="360" w:lineRule="auto"/>
      <w:ind w:right="-766" w:firstLine="709"/>
      <w:jc w:val="both"/>
    </w:pPr>
    <w:rPr>
      <w:rFonts w:ascii="Times New Roman" w:eastAsia="Times New Roman" w:hAnsi="Times New Roman" w:cs="Times New Roman"/>
      <w:sz w:val="28"/>
      <w:szCs w:val="20"/>
      <w:lang w:eastAsia="ja-JP"/>
    </w:rPr>
  </w:style>
  <w:style w:type="paragraph" w:customStyle="1" w:styleId="BodyTextIndent2">
    <w:name w:val="Body Text Indent 2"/>
    <w:basedOn w:val="a0"/>
    <w:rsid w:val="00126FD8"/>
    <w:pPr>
      <w:spacing w:after="0" w:line="360" w:lineRule="auto"/>
      <w:ind w:right="-2" w:firstLine="720"/>
      <w:jc w:val="both"/>
    </w:pPr>
    <w:rPr>
      <w:rFonts w:ascii="Times New Roman" w:eastAsia="Times New Roman" w:hAnsi="Times New Roman" w:cs="Times New Roman"/>
      <w:sz w:val="24"/>
      <w:szCs w:val="20"/>
      <w:lang w:eastAsia="ja-JP"/>
    </w:rPr>
  </w:style>
  <w:style w:type="paragraph" w:styleId="23">
    <w:name w:val="Body Text Indent 2"/>
    <w:basedOn w:val="a0"/>
    <w:link w:val="24"/>
    <w:rsid w:val="00126FD8"/>
    <w:pPr>
      <w:spacing w:after="120" w:line="480" w:lineRule="auto"/>
      <w:ind w:left="283"/>
    </w:pPr>
    <w:rPr>
      <w:rFonts w:ascii="Times New Roman" w:eastAsia="Times New Roman" w:hAnsi="Times New Roman" w:cs="Times New Roman"/>
      <w:sz w:val="20"/>
      <w:szCs w:val="20"/>
      <w:lang w:eastAsia="ja-JP"/>
    </w:rPr>
  </w:style>
  <w:style w:type="character" w:customStyle="1" w:styleId="24">
    <w:name w:val="Основной текст с отступом 2 Знак"/>
    <w:basedOn w:val="a1"/>
    <w:link w:val="23"/>
    <w:rsid w:val="00126FD8"/>
    <w:rPr>
      <w:rFonts w:ascii="Times New Roman" w:eastAsia="Times New Roman" w:hAnsi="Times New Roman" w:cs="Times New Roman"/>
      <w:sz w:val="20"/>
      <w:szCs w:val="20"/>
      <w:lang w:eastAsia="ja-JP"/>
    </w:rPr>
  </w:style>
  <w:style w:type="paragraph" w:styleId="af4">
    <w:name w:val="header"/>
    <w:basedOn w:val="a0"/>
    <w:link w:val="af5"/>
    <w:uiPriority w:val="99"/>
    <w:rsid w:val="00126FD8"/>
    <w:pPr>
      <w:tabs>
        <w:tab w:val="center" w:pos="4677"/>
        <w:tab w:val="right" w:pos="9355"/>
      </w:tabs>
      <w:spacing w:after="0" w:line="240" w:lineRule="auto"/>
    </w:pPr>
    <w:rPr>
      <w:rFonts w:ascii="Times New Roman" w:eastAsia="Times New Roman" w:hAnsi="Times New Roman" w:cs="Times New Roman"/>
      <w:sz w:val="20"/>
      <w:szCs w:val="20"/>
      <w:lang w:eastAsia="ja-JP"/>
    </w:rPr>
  </w:style>
  <w:style w:type="character" w:customStyle="1" w:styleId="af5">
    <w:name w:val="Верхний колонтитул Знак"/>
    <w:basedOn w:val="a1"/>
    <w:link w:val="af4"/>
    <w:uiPriority w:val="99"/>
    <w:rsid w:val="00126FD8"/>
    <w:rPr>
      <w:rFonts w:ascii="Times New Roman" w:eastAsia="Times New Roman" w:hAnsi="Times New Roman" w:cs="Times New Roman"/>
      <w:sz w:val="20"/>
      <w:szCs w:val="20"/>
      <w:lang w:eastAsia="ja-JP"/>
    </w:rPr>
  </w:style>
  <w:style w:type="character" w:styleId="af6">
    <w:name w:val="annotation reference"/>
    <w:basedOn w:val="a1"/>
    <w:semiHidden/>
    <w:rsid w:val="00126FD8"/>
    <w:rPr>
      <w:sz w:val="16"/>
      <w:szCs w:val="16"/>
    </w:rPr>
  </w:style>
  <w:style w:type="paragraph" w:styleId="af7">
    <w:name w:val="annotation text"/>
    <w:basedOn w:val="a0"/>
    <w:link w:val="af8"/>
    <w:semiHidden/>
    <w:rsid w:val="00126FD8"/>
    <w:pPr>
      <w:spacing w:after="0" w:line="240" w:lineRule="auto"/>
    </w:pPr>
    <w:rPr>
      <w:rFonts w:ascii="Times New Roman" w:eastAsia="Times New Roman" w:hAnsi="Times New Roman" w:cs="Times New Roman"/>
      <w:sz w:val="20"/>
      <w:szCs w:val="20"/>
      <w:lang w:eastAsia="ja-JP"/>
    </w:rPr>
  </w:style>
  <w:style w:type="character" w:customStyle="1" w:styleId="af8">
    <w:name w:val="Текст примечания Знак"/>
    <w:basedOn w:val="a1"/>
    <w:link w:val="af7"/>
    <w:semiHidden/>
    <w:rsid w:val="00126FD8"/>
    <w:rPr>
      <w:rFonts w:ascii="Times New Roman" w:eastAsia="Times New Roman" w:hAnsi="Times New Roman" w:cs="Times New Roman"/>
      <w:sz w:val="20"/>
      <w:szCs w:val="20"/>
      <w:lang w:eastAsia="ja-JP"/>
    </w:rPr>
  </w:style>
  <w:style w:type="paragraph" w:styleId="af9">
    <w:name w:val="annotation subject"/>
    <w:basedOn w:val="af7"/>
    <w:next w:val="af7"/>
    <w:link w:val="afa"/>
    <w:semiHidden/>
    <w:rsid w:val="00126FD8"/>
    <w:rPr>
      <w:b/>
      <w:bCs/>
    </w:rPr>
  </w:style>
  <w:style w:type="character" w:customStyle="1" w:styleId="afa">
    <w:name w:val="Тема примечания Знак"/>
    <w:basedOn w:val="af8"/>
    <w:link w:val="af9"/>
    <w:semiHidden/>
    <w:rsid w:val="00126FD8"/>
    <w:rPr>
      <w:b/>
      <w:bCs/>
    </w:rPr>
  </w:style>
  <w:style w:type="paragraph" w:styleId="afb">
    <w:name w:val="Balloon Text"/>
    <w:basedOn w:val="a0"/>
    <w:link w:val="afc"/>
    <w:semiHidden/>
    <w:rsid w:val="00126FD8"/>
    <w:pPr>
      <w:spacing w:after="0" w:line="240" w:lineRule="auto"/>
    </w:pPr>
    <w:rPr>
      <w:rFonts w:ascii="Tahoma" w:eastAsia="Times New Roman" w:hAnsi="Tahoma" w:cs="Tahoma"/>
      <w:sz w:val="16"/>
      <w:szCs w:val="16"/>
      <w:lang w:eastAsia="ja-JP"/>
    </w:rPr>
  </w:style>
  <w:style w:type="character" w:customStyle="1" w:styleId="afc">
    <w:name w:val="Текст выноски Знак"/>
    <w:basedOn w:val="a1"/>
    <w:link w:val="afb"/>
    <w:semiHidden/>
    <w:rsid w:val="00126FD8"/>
    <w:rPr>
      <w:rFonts w:ascii="Tahoma" w:eastAsia="Times New Roman" w:hAnsi="Tahoma" w:cs="Tahoma"/>
      <w:sz w:val="16"/>
      <w:szCs w:val="16"/>
      <w:lang w:eastAsia="ja-JP"/>
    </w:rPr>
  </w:style>
  <w:style w:type="table" w:styleId="afd">
    <w:name w:val="Table Grid"/>
    <w:basedOn w:val="a2"/>
    <w:rsid w:val="00126FD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Стиль3"/>
    <w:basedOn w:val="2"/>
    <w:next w:val="a0"/>
    <w:rsid w:val="00126FD8"/>
    <w:pPr>
      <w:widowControl/>
      <w:spacing w:before="240" w:after="60"/>
    </w:pPr>
    <w:rPr>
      <w:rFonts w:cs="Arial"/>
      <w:bCs/>
      <w:iCs/>
      <w:snapToGrid/>
      <w:lang w:eastAsia="ja-JP"/>
    </w:rPr>
  </w:style>
  <w:style w:type="paragraph" w:customStyle="1" w:styleId="12">
    <w:name w:val="Стиль1"/>
    <w:basedOn w:val="1"/>
    <w:rsid w:val="00126FD8"/>
    <w:pPr>
      <w:spacing w:before="120" w:after="120"/>
      <w:jc w:val="center"/>
    </w:pPr>
    <w:rPr>
      <w:rFonts w:cs="Arial"/>
      <w:b/>
      <w:bCs/>
      <w:i/>
      <w:smallCaps/>
      <w:kern w:val="32"/>
      <w:sz w:val="28"/>
      <w:szCs w:val="28"/>
      <w:lang w:val="ru-RU"/>
    </w:rPr>
  </w:style>
  <w:style w:type="paragraph" w:customStyle="1" w:styleId="25">
    <w:name w:val="Заголовок №2"/>
    <w:basedOn w:val="2"/>
    <w:rsid w:val="00126FD8"/>
    <w:pPr>
      <w:widowControl/>
      <w:spacing w:before="240" w:after="60"/>
    </w:pPr>
    <w:rPr>
      <w:rFonts w:cs="Arial"/>
      <w:bCs/>
      <w:i w:val="0"/>
      <w:iCs/>
      <w:smallCaps w:val="0"/>
      <w:snapToGrid/>
      <w:lang w:eastAsia="ja-JP"/>
    </w:rPr>
  </w:style>
  <w:style w:type="paragraph" w:customStyle="1" w:styleId="13">
    <w:name w:val="Заголовок 1 мой"/>
    <w:basedOn w:val="a0"/>
    <w:rsid w:val="00126FD8"/>
    <w:pPr>
      <w:keepNext/>
      <w:spacing w:before="120" w:after="240" w:line="240" w:lineRule="auto"/>
      <w:jc w:val="center"/>
      <w:outlineLvl w:val="0"/>
    </w:pPr>
    <w:rPr>
      <w:rFonts w:ascii="Times New Roman" w:eastAsia="Times New Roman" w:hAnsi="Times New Roman" w:cs="Times New Roman"/>
      <w:b/>
      <w:bCs/>
      <w:caps/>
      <w:sz w:val="28"/>
      <w:szCs w:val="28"/>
      <w:lang w:eastAsia="ja-JP"/>
    </w:rPr>
  </w:style>
  <w:style w:type="paragraph" w:customStyle="1" w:styleId="26">
    <w:name w:val="Стиль2"/>
    <w:basedOn w:val="1"/>
    <w:rsid w:val="00126FD8"/>
    <w:pPr>
      <w:spacing w:before="120" w:after="240"/>
      <w:jc w:val="center"/>
    </w:pPr>
    <w:rPr>
      <w:b/>
      <w:caps/>
      <w:sz w:val="28"/>
      <w:szCs w:val="28"/>
    </w:rPr>
  </w:style>
  <w:style w:type="paragraph" w:customStyle="1" w:styleId="4">
    <w:name w:val="Стиль4"/>
    <w:basedOn w:val="13"/>
    <w:rsid w:val="00126FD8"/>
  </w:style>
  <w:style w:type="paragraph" w:styleId="14">
    <w:name w:val="toc 1"/>
    <w:basedOn w:val="a0"/>
    <w:next w:val="a0"/>
    <w:autoRedefine/>
    <w:semiHidden/>
    <w:rsid w:val="00126FD8"/>
    <w:pPr>
      <w:tabs>
        <w:tab w:val="right" w:leader="dot" w:pos="10195"/>
      </w:tabs>
      <w:spacing w:after="0" w:line="240" w:lineRule="auto"/>
    </w:pPr>
    <w:rPr>
      <w:rFonts w:ascii="Times New Roman" w:eastAsia="Times New Roman" w:hAnsi="Times New Roman" w:cs="Times New Roman"/>
      <w:noProof/>
      <w:sz w:val="28"/>
      <w:szCs w:val="28"/>
      <w:lang w:eastAsia="ja-JP"/>
    </w:rPr>
  </w:style>
  <w:style w:type="paragraph" w:styleId="27">
    <w:name w:val="toc 2"/>
    <w:basedOn w:val="a0"/>
    <w:next w:val="a0"/>
    <w:autoRedefine/>
    <w:semiHidden/>
    <w:rsid w:val="00126FD8"/>
    <w:pPr>
      <w:tabs>
        <w:tab w:val="right" w:leader="dot" w:pos="10195"/>
      </w:tabs>
      <w:spacing w:after="0" w:line="240" w:lineRule="auto"/>
      <w:ind w:left="200"/>
    </w:pPr>
    <w:rPr>
      <w:rFonts w:ascii="Times New Roman" w:eastAsia="Times New Roman" w:hAnsi="Times New Roman" w:cs="Times New Roman"/>
      <w:noProof/>
      <w:sz w:val="24"/>
      <w:szCs w:val="24"/>
      <w:lang w:eastAsia="ja-JP"/>
    </w:rPr>
  </w:style>
  <w:style w:type="paragraph" w:styleId="a">
    <w:name w:val="List Bullet"/>
    <w:basedOn w:val="a0"/>
    <w:autoRedefine/>
    <w:rsid w:val="00126FD8"/>
    <w:pPr>
      <w:numPr>
        <w:numId w:val="34"/>
      </w:numPr>
      <w:spacing w:after="0" w:line="240" w:lineRule="auto"/>
    </w:pPr>
    <w:rPr>
      <w:rFonts w:ascii="Times New Roman" w:eastAsia="Times New Roman" w:hAnsi="Times New Roman" w:cs="Times New Roman"/>
      <w:sz w:val="20"/>
      <w:szCs w:val="20"/>
      <w:lang w:eastAsia="ja-JP"/>
    </w:rPr>
  </w:style>
  <w:style w:type="paragraph" w:customStyle="1" w:styleId="oldn">
    <w:name w:val="oldn"/>
    <w:basedOn w:val="a0"/>
    <w:rsid w:val="00126FD8"/>
    <w:pPr>
      <w:spacing w:after="0" w:line="360" w:lineRule="auto"/>
      <w:ind w:firstLine="709"/>
      <w:jc w:val="both"/>
    </w:pPr>
    <w:rPr>
      <w:rFonts w:ascii="Times New Roman" w:eastAsia="Times New Roman" w:hAnsi="Times New Roman" w:cs="Times New Roman"/>
      <w:sz w:val="26"/>
      <w:szCs w:val="24"/>
    </w:rPr>
  </w:style>
  <w:style w:type="paragraph" w:customStyle="1" w:styleId="Normal1">
    <w:name w:val="Normal"/>
    <w:rsid w:val="00126FD8"/>
    <w:pPr>
      <w:widowControl w:val="0"/>
      <w:spacing w:after="0" w:line="240" w:lineRule="auto"/>
    </w:pPr>
    <w:rPr>
      <w:rFonts w:ascii="Times New Roman" w:eastAsia="Times New Roman" w:hAnsi="Times New Roman" w:cs="Times New Roman"/>
      <w:snapToGrid w:val="0"/>
      <w:sz w:val="20"/>
      <w:szCs w:val="20"/>
    </w:rPr>
  </w:style>
  <w:style w:type="paragraph" w:styleId="afe">
    <w:name w:val="Plain Text"/>
    <w:basedOn w:val="a0"/>
    <w:link w:val="aff"/>
    <w:semiHidden/>
    <w:rsid w:val="00126FD8"/>
    <w:pPr>
      <w:spacing w:after="0" w:line="240" w:lineRule="auto"/>
    </w:pPr>
    <w:rPr>
      <w:rFonts w:ascii="Courier New" w:eastAsia="Times New Roman" w:hAnsi="Courier New" w:cs="Times New Roman"/>
      <w:sz w:val="20"/>
      <w:szCs w:val="20"/>
    </w:rPr>
  </w:style>
  <w:style w:type="character" w:customStyle="1" w:styleId="aff">
    <w:name w:val="Текст Знак"/>
    <w:basedOn w:val="a1"/>
    <w:link w:val="afe"/>
    <w:semiHidden/>
    <w:rsid w:val="00126FD8"/>
    <w:rPr>
      <w:rFonts w:ascii="Courier New" w:eastAsia="Times New Roman" w:hAnsi="Courier New"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4.wmf"/><Relationship Id="rId21" Type="http://schemas.openxmlformats.org/officeDocument/2006/relationships/image" Target="media/image9.wmf"/><Relationship Id="rId42" Type="http://schemas.openxmlformats.org/officeDocument/2006/relationships/image" Target="media/image19.wmf"/><Relationship Id="rId63" Type="http://schemas.openxmlformats.org/officeDocument/2006/relationships/oleObject" Target="embeddings/oleObject29.bin"/><Relationship Id="rId84" Type="http://schemas.openxmlformats.org/officeDocument/2006/relationships/chart" Target="charts/chart2.xml"/><Relationship Id="rId138" Type="http://schemas.openxmlformats.org/officeDocument/2006/relationships/oleObject" Target="embeddings/oleObject67.bin"/><Relationship Id="rId159" Type="http://schemas.openxmlformats.org/officeDocument/2006/relationships/oleObject" Target="embeddings/oleObject77.bin"/><Relationship Id="rId170" Type="http://schemas.openxmlformats.org/officeDocument/2006/relationships/image" Target="media/image80.wmf"/><Relationship Id="rId191" Type="http://schemas.openxmlformats.org/officeDocument/2006/relationships/oleObject" Target="embeddings/oleObject93.bin"/><Relationship Id="rId205" Type="http://schemas.openxmlformats.org/officeDocument/2006/relationships/image" Target="media/image97.wmf"/><Relationship Id="rId226" Type="http://schemas.openxmlformats.org/officeDocument/2006/relationships/oleObject" Target="embeddings/oleObject111.bin"/><Relationship Id="rId247" Type="http://schemas.openxmlformats.org/officeDocument/2006/relationships/image" Target="media/image117.wmf"/><Relationship Id="rId107" Type="http://schemas.openxmlformats.org/officeDocument/2006/relationships/image" Target="media/image49.wmf"/><Relationship Id="rId268" Type="http://schemas.openxmlformats.org/officeDocument/2006/relationships/oleObject" Target="embeddings/oleObject131.bin"/><Relationship Id="rId11" Type="http://schemas.openxmlformats.org/officeDocument/2006/relationships/image" Target="media/image4.wmf"/><Relationship Id="rId32" Type="http://schemas.openxmlformats.org/officeDocument/2006/relationships/oleObject" Target="embeddings/oleObject14.bin"/><Relationship Id="rId53" Type="http://schemas.openxmlformats.org/officeDocument/2006/relationships/oleObject" Target="embeddings/oleObject24.bin"/><Relationship Id="rId74" Type="http://schemas.openxmlformats.org/officeDocument/2006/relationships/image" Target="media/image35.wmf"/><Relationship Id="rId128" Type="http://schemas.openxmlformats.org/officeDocument/2006/relationships/oleObject" Target="embeddings/oleObject62.bin"/><Relationship Id="rId149" Type="http://schemas.openxmlformats.org/officeDocument/2006/relationships/chart" Target="charts/chart4.xml"/><Relationship Id="rId5" Type="http://schemas.openxmlformats.org/officeDocument/2006/relationships/image" Target="media/image1.wmf"/><Relationship Id="rId95" Type="http://schemas.openxmlformats.org/officeDocument/2006/relationships/oleObject" Target="embeddings/oleObject45.bin"/><Relationship Id="rId160" Type="http://schemas.openxmlformats.org/officeDocument/2006/relationships/image" Target="media/image75.wmf"/><Relationship Id="rId181" Type="http://schemas.openxmlformats.org/officeDocument/2006/relationships/oleObject" Target="embeddings/oleObject88.bin"/><Relationship Id="rId216" Type="http://schemas.openxmlformats.org/officeDocument/2006/relationships/oleObject" Target="embeddings/oleObject106.bin"/><Relationship Id="rId237" Type="http://schemas.openxmlformats.org/officeDocument/2006/relationships/image" Target="media/image112.wmf"/><Relationship Id="rId258" Type="http://schemas.openxmlformats.org/officeDocument/2006/relationships/oleObject" Target="embeddings/oleObject126.bin"/><Relationship Id="rId279" Type="http://schemas.openxmlformats.org/officeDocument/2006/relationships/image" Target="media/image133.png"/><Relationship Id="rId22" Type="http://schemas.openxmlformats.org/officeDocument/2006/relationships/oleObject" Target="embeddings/oleObject9.bin"/><Relationship Id="rId43" Type="http://schemas.openxmlformats.org/officeDocument/2006/relationships/oleObject" Target="embeddings/oleObject19.bin"/><Relationship Id="rId64" Type="http://schemas.openxmlformats.org/officeDocument/2006/relationships/image" Target="media/image30.wmf"/><Relationship Id="rId118" Type="http://schemas.openxmlformats.org/officeDocument/2006/relationships/oleObject" Target="embeddings/oleObject57.bin"/><Relationship Id="rId139" Type="http://schemas.openxmlformats.org/officeDocument/2006/relationships/image" Target="media/image65.wmf"/><Relationship Id="rId85" Type="http://schemas.openxmlformats.org/officeDocument/2006/relationships/image" Target="media/image40.wmf"/><Relationship Id="rId150" Type="http://schemas.openxmlformats.org/officeDocument/2006/relationships/image" Target="media/image70.wmf"/><Relationship Id="rId171" Type="http://schemas.openxmlformats.org/officeDocument/2006/relationships/oleObject" Target="embeddings/oleObject83.bin"/><Relationship Id="rId192" Type="http://schemas.openxmlformats.org/officeDocument/2006/relationships/image" Target="media/image91.wmf"/><Relationship Id="rId206" Type="http://schemas.openxmlformats.org/officeDocument/2006/relationships/oleObject" Target="embeddings/oleObject101.bin"/><Relationship Id="rId227" Type="http://schemas.openxmlformats.org/officeDocument/2006/relationships/chart" Target="charts/chart5.xml"/><Relationship Id="rId248" Type="http://schemas.openxmlformats.org/officeDocument/2006/relationships/oleObject" Target="embeddings/oleObject121.bin"/><Relationship Id="rId269" Type="http://schemas.openxmlformats.org/officeDocument/2006/relationships/image" Target="media/image128.wmf"/><Relationship Id="rId12" Type="http://schemas.openxmlformats.org/officeDocument/2006/relationships/oleObject" Target="embeddings/oleObject4.bin"/><Relationship Id="rId33" Type="http://schemas.openxmlformats.org/officeDocument/2006/relationships/image" Target="media/image15.wmf"/><Relationship Id="rId108" Type="http://schemas.openxmlformats.org/officeDocument/2006/relationships/oleObject" Target="embeddings/oleObject52.bin"/><Relationship Id="rId129" Type="http://schemas.openxmlformats.org/officeDocument/2006/relationships/image" Target="media/image60.wmf"/><Relationship Id="rId280" Type="http://schemas.openxmlformats.org/officeDocument/2006/relationships/image" Target="media/image134.png"/><Relationship Id="rId54" Type="http://schemas.openxmlformats.org/officeDocument/2006/relationships/image" Target="media/image25.wmf"/><Relationship Id="rId75" Type="http://schemas.openxmlformats.org/officeDocument/2006/relationships/oleObject" Target="embeddings/oleObject35.bin"/><Relationship Id="rId96" Type="http://schemas.openxmlformats.org/officeDocument/2006/relationships/chart" Target="charts/chart3.xml"/><Relationship Id="rId140" Type="http://schemas.openxmlformats.org/officeDocument/2006/relationships/oleObject" Target="embeddings/oleObject68.bin"/><Relationship Id="rId161" Type="http://schemas.openxmlformats.org/officeDocument/2006/relationships/oleObject" Target="embeddings/oleObject78.bin"/><Relationship Id="rId182" Type="http://schemas.openxmlformats.org/officeDocument/2006/relationships/image" Target="media/image86.wmf"/><Relationship Id="rId217" Type="http://schemas.openxmlformats.org/officeDocument/2006/relationships/image" Target="media/image103.wmf"/><Relationship Id="rId6" Type="http://schemas.openxmlformats.org/officeDocument/2006/relationships/oleObject" Target="embeddings/oleObject1.bin"/><Relationship Id="rId238" Type="http://schemas.openxmlformats.org/officeDocument/2006/relationships/oleObject" Target="embeddings/oleObject116.bin"/><Relationship Id="rId259" Type="http://schemas.openxmlformats.org/officeDocument/2006/relationships/image" Target="media/image123.wmf"/><Relationship Id="rId23" Type="http://schemas.openxmlformats.org/officeDocument/2006/relationships/image" Target="media/image10.wmf"/><Relationship Id="rId119" Type="http://schemas.openxmlformats.org/officeDocument/2006/relationships/image" Target="media/image55.wmf"/><Relationship Id="rId270" Type="http://schemas.openxmlformats.org/officeDocument/2006/relationships/oleObject" Target="embeddings/oleObject132.bin"/><Relationship Id="rId44" Type="http://schemas.openxmlformats.org/officeDocument/2006/relationships/image" Target="media/image20.wmf"/><Relationship Id="rId65" Type="http://schemas.openxmlformats.org/officeDocument/2006/relationships/oleObject" Target="embeddings/oleObject30.bin"/><Relationship Id="rId86" Type="http://schemas.openxmlformats.org/officeDocument/2006/relationships/oleObject" Target="embeddings/oleObject40.bin"/><Relationship Id="rId130" Type="http://schemas.openxmlformats.org/officeDocument/2006/relationships/oleObject" Target="embeddings/oleObject63.bin"/><Relationship Id="rId151" Type="http://schemas.openxmlformats.org/officeDocument/2006/relationships/oleObject" Target="embeddings/oleObject73.bin"/><Relationship Id="rId172" Type="http://schemas.openxmlformats.org/officeDocument/2006/relationships/image" Target="media/image81.wmf"/><Relationship Id="rId193" Type="http://schemas.openxmlformats.org/officeDocument/2006/relationships/oleObject" Target="embeddings/oleObject94.bin"/><Relationship Id="rId202" Type="http://schemas.openxmlformats.org/officeDocument/2006/relationships/oleObject" Target="embeddings/oleObject99.bin"/><Relationship Id="rId207" Type="http://schemas.openxmlformats.org/officeDocument/2006/relationships/image" Target="media/image98.wmf"/><Relationship Id="rId223" Type="http://schemas.openxmlformats.org/officeDocument/2006/relationships/image" Target="media/image106.wmf"/><Relationship Id="rId228" Type="http://schemas.openxmlformats.org/officeDocument/2006/relationships/chart" Target="charts/chart6.xml"/><Relationship Id="rId244" Type="http://schemas.openxmlformats.org/officeDocument/2006/relationships/oleObject" Target="embeddings/oleObject119.bin"/><Relationship Id="rId249" Type="http://schemas.openxmlformats.org/officeDocument/2006/relationships/image" Target="media/image118.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chart" Target="charts/chart1.xml"/><Relationship Id="rId109" Type="http://schemas.openxmlformats.org/officeDocument/2006/relationships/image" Target="media/image50.wmf"/><Relationship Id="rId260" Type="http://schemas.openxmlformats.org/officeDocument/2006/relationships/oleObject" Target="embeddings/oleObject127.bin"/><Relationship Id="rId265" Type="http://schemas.openxmlformats.org/officeDocument/2006/relationships/image" Target="media/image126.wmf"/><Relationship Id="rId281" Type="http://schemas.openxmlformats.org/officeDocument/2006/relationships/fontTable" Target="fontTable.xml"/><Relationship Id="rId34" Type="http://schemas.openxmlformats.org/officeDocument/2006/relationships/oleObject" Target="embeddings/oleObject15.bin"/><Relationship Id="rId50" Type="http://schemas.openxmlformats.org/officeDocument/2006/relationships/image" Target="media/image23.wmf"/><Relationship Id="rId55" Type="http://schemas.openxmlformats.org/officeDocument/2006/relationships/oleObject" Target="embeddings/oleObject25.bin"/><Relationship Id="rId76" Type="http://schemas.openxmlformats.org/officeDocument/2006/relationships/image" Target="media/image36.wmf"/><Relationship Id="rId97" Type="http://schemas.openxmlformats.org/officeDocument/2006/relationships/image" Target="media/image45.wmf"/><Relationship Id="rId104" Type="http://schemas.openxmlformats.org/officeDocument/2006/relationships/oleObject" Target="embeddings/oleObject50.bin"/><Relationship Id="rId120" Type="http://schemas.openxmlformats.org/officeDocument/2006/relationships/oleObject" Target="embeddings/oleObject58.bin"/><Relationship Id="rId125" Type="http://schemas.openxmlformats.org/officeDocument/2006/relationships/image" Target="media/image58.wmf"/><Relationship Id="rId141" Type="http://schemas.openxmlformats.org/officeDocument/2006/relationships/image" Target="media/image66.wmf"/><Relationship Id="rId146" Type="http://schemas.openxmlformats.org/officeDocument/2006/relationships/oleObject" Target="embeddings/oleObject71.bin"/><Relationship Id="rId167" Type="http://schemas.openxmlformats.org/officeDocument/2006/relationships/oleObject" Target="embeddings/oleObject81.bin"/><Relationship Id="rId188" Type="http://schemas.openxmlformats.org/officeDocument/2006/relationships/image" Target="media/image89.wmf"/><Relationship Id="rId7" Type="http://schemas.openxmlformats.org/officeDocument/2006/relationships/image" Target="media/image2.wmf"/><Relationship Id="rId71" Type="http://schemas.openxmlformats.org/officeDocument/2006/relationships/oleObject" Target="embeddings/oleObject33.bin"/><Relationship Id="rId92" Type="http://schemas.openxmlformats.org/officeDocument/2006/relationships/image" Target="media/image43.wmf"/><Relationship Id="rId162" Type="http://schemas.openxmlformats.org/officeDocument/2006/relationships/image" Target="media/image76.wmf"/><Relationship Id="rId183" Type="http://schemas.openxmlformats.org/officeDocument/2006/relationships/oleObject" Target="embeddings/oleObject89.bin"/><Relationship Id="rId213" Type="http://schemas.openxmlformats.org/officeDocument/2006/relationships/image" Target="media/image101.wmf"/><Relationship Id="rId218" Type="http://schemas.openxmlformats.org/officeDocument/2006/relationships/oleObject" Target="embeddings/oleObject107.bin"/><Relationship Id="rId234" Type="http://schemas.openxmlformats.org/officeDocument/2006/relationships/oleObject" Target="embeddings/oleObject114.bin"/><Relationship Id="rId239" Type="http://schemas.openxmlformats.org/officeDocument/2006/relationships/image" Target="media/image113.wmf"/><Relationship Id="rId2" Type="http://schemas.openxmlformats.org/officeDocument/2006/relationships/styles" Target="styles.xml"/><Relationship Id="rId29" Type="http://schemas.openxmlformats.org/officeDocument/2006/relationships/image" Target="media/image13.wmf"/><Relationship Id="rId250" Type="http://schemas.openxmlformats.org/officeDocument/2006/relationships/oleObject" Target="embeddings/oleObject122.bin"/><Relationship Id="rId255" Type="http://schemas.openxmlformats.org/officeDocument/2006/relationships/image" Target="media/image121.wmf"/><Relationship Id="rId271" Type="http://schemas.openxmlformats.org/officeDocument/2006/relationships/image" Target="media/image129.wmf"/><Relationship Id="rId276" Type="http://schemas.openxmlformats.org/officeDocument/2006/relationships/oleObject" Target="embeddings/oleObject135.bin"/><Relationship Id="rId24" Type="http://schemas.openxmlformats.org/officeDocument/2006/relationships/oleObject" Target="embeddings/oleObject10.bin"/><Relationship Id="rId40" Type="http://schemas.openxmlformats.org/officeDocument/2006/relationships/image" Target="media/image18.wmf"/><Relationship Id="rId45" Type="http://schemas.openxmlformats.org/officeDocument/2006/relationships/oleObject" Target="embeddings/oleObject20.bin"/><Relationship Id="rId66" Type="http://schemas.openxmlformats.org/officeDocument/2006/relationships/image" Target="media/image31.wmf"/><Relationship Id="rId87" Type="http://schemas.openxmlformats.org/officeDocument/2006/relationships/oleObject" Target="embeddings/oleObject41.bin"/><Relationship Id="rId110" Type="http://schemas.openxmlformats.org/officeDocument/2006/relationships/oleObject" Target="embeddings/oleObject53.bin"/><Relationship Id="rId115" Type="http://schemas.openxmlformats.org/officeDocument/2006/relationships/image" Target="media/image53.wmf"/><Relationship Id="rId131" Type="http://schemas.openxmlformats.org/officeDocument/2006/relationships/image" Target="media/image61.wmf"/><Relationship Id="rId136" Type="http://schemas.openxmlformats.org/officeDocument/2006/relationships/oleObject" Target="embeddings/oleObject66.bin"/><Relationship Id="rId157" Type="http://schemas.openxmlformats.org/officeDocument/2006/relationships/oleObject" Target="embeddings/oleObject76.bin"/><Relationship Id="rId178" Type="http://schemas.openxmlformats.org/officeDocument/2006/relationships/image" Target="media/image84.wmf"/><Relationship Id="rId61" Type="http://schemas.openxmlformats.org/officeDocument/2006/relationships/oleObject" Target="embeddings/oleObject28.bin"/><Relationship Id="rId82" Type="http://schemas.openxmlformats.org/officeDocument/2006/relationships/image" Target="media/image39.wmf"/><Relationship Id="rId152" Type="http://schemas.openxmlformats.org/officeDocument/2006/relationships/image" Target="media/image71.wmf"/><Relationship Id="rId173" Type="http://schemas.openxmlformats.org/officeDocument/2006/relationships/oleObject" Target="embeddings/oleObject84.bin"/><Relationship Id="rId194" Type="http://schemas.openxmlformats.org/officeDocument/2006/relationships/image" Target="media/image92.wmf"/><Relationship Id="rId199" Type="http://schemas.openxmlformats.org/officeDocument/2006/relationships/oleObject" Target="embeddings/oleObject97.bin"/><Relationship Id="rId203" Type="http://schemas.openxmlformats.org/officeDocument/2006/relationships/image" Target="media/image96.wmf"/><Relationship Id="rId208" Type="http://schemas.openxmlformats.org/officeDocument/2006/relationships/oleObject" Target="embeddings/oleObject102.bin"/><Relationship Id="rId229" Type="http://schemas.openxmlformats.org/officeDocument/2006/relationships/image" Target="media/image108.wmf"/><Relationship Id="rId19" Type="http://schemas.openxmlformats.org/officeDocument/2006/relationships/image" Target="media/image8.wmf"/><Relationship Id="rId224" Type="http://schemas.openxmlformats.org/officeDocument/2006/relationships/oleObject" Target="embeddings/oleObject110.bin"/><Relationship Id="rId240" Type="http://schemas.openxmlformats.org/officeDocument/2006/relationships/oleObject" Target="embeddings/oleObject117.bin"/><Relationship Id="rId245" Type="http://schemas.openxmlformats.org/officeDocument/2006/relationships/image" Target="media/image116.wmf"/><Relationship Id="rId261" Type="http://schemas.openxmlformats.org/officeDocument/2006/relationships/image" Target="media/image124.wmf"/><Relationship Id="rId266" Type="http://schemas.openxmlformats.org/officeDocument/2006/relationships/oleObject" Target="embeddings/oleObject130.bin"/><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6.wmf"/><Relationship Id="rId56" Type="http://schemas.openxmlformats.org/officeDocument/2006/relationships/image" Target="media/image26.wmf"/><Relationship Id="rId77" Type="http://schemas.openxmlformats.org/officeDocument/2006/relationships/oleObject" Target="embeddings/oleObject36.bin"/><Relationship Id="rId100" Type="http://schemas.openxmlformats.org/officeDocument/2006/relationships/oleObject" Target="embeddings/oleObject48.bin"/><Relationship Id="rId105" Type="http://schemas.openxmlformats.org/officeDocument/2006/relationships/image" Target="media/image48.wmf"/><Relationship Id="rId126" Type="http://schemas.openxmlformats.org/officeDocument/2006/relationships/oleObject" Target="embeddings/oleObject61.bin"/><Relationship Id="rId147" Type="http://schemas.openxmlformats.org/officeDocument/2006/relationships/image" Target="media/image69.wmf"/><Relationship Id="rId168" Type="http://schemas.openxmlformats.org/officeDocument/2006/relationships/image" Target="media/image79.wmf"/><Relationship Id="rId282"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oleObject" Target="embeddings/oleObject23.bin"/><Relationship Id="rId72" Type="http://schemas.openxmlformats.org/officeDocument/2006/relationships/image" Target="media/image34.wmf"/><Relationship Id="rId93" Type="http://schemas.openxmlformats.org/officeDocument/2006/relationships/oleObject" Target="embeddings/oleObject44.bin"/><Relationship Id="rId98" Type="http://schemas.openxmlformats.org/officeDocument/2006/relationships/oleObject" Target="embeddings/oleObject46.bin"/><Relationship Id="rId121" Type="http://schemas.openxmlformats.org/officeDocument/2006/relationships/image" Target="media/image56.wmf"/><Relationship Id="rId142" Type="http://schemas.openxmlformats.org/officeDocument/2006/relationships/oleObject" Target="embeddings/oleObject69.bin"/><Relationship Id="rId163" Type="http://schemas.openxmlformats.org/officeDocument/2006/relationships/oleObject" Target="embeddings/oleObject79.bin"/><Relationship Id="rId184" Type="http://schemas.openxmlformats.org/officeDocument/2006/relationships/image" Target="media/image87.wmf"/><Relationship Id="rId189" Type="http://schemas.openxmlformats.org/officeDocument/2006/relationships/oleObject" Target="embeddings/oleObject92.bin"/><Relationship Id="rId219" Type="http://schemas.openxmlformats.org/officeDocument/2006/relationships/image" Target="media/image104.wmf"/><Relationship Id="rId3" Type="http://schemas.openxmlformats.org/officeDocument/2006/relationships/settings" Target="settings.xml"/><Relationship Id="rId214" Type="http://schemas.openxmlformats.org/officeDocument/2006/relationships/oleObject" Target="embeddings/oleObject105.bin"/><Relationship Id="rId230" Type="http://schemas.openxmlformats.org/officeDocument/2006/relationships/oleObject" Target="embeddings/oleObject112.bin"/><Relationship Id="rId235" Type="http://schemas.openxmlformats.org/officeDocument/2006/relationships/image" Target="media/image111.wmf"/><Relationship Id="rId251" Type="http://schemas.openxmlformats.org/officeDocument/2006/relationships/image" Target="media/image119.wmf"/><Relationship Id="rId256" Type="http://schemas.openxmlformats.org/officeDocument/2006/relationships/oleObject" Target="embeddings/oleObject125.bin"/><Relationship Id="rId277" Type="http://schemas.openxmlformats.org/officeDocument/2006/relationships/image" Target="media/image132.wmf"/><Relationship Id="rId25" Type="http://schemas.openxmlformats.org/officeDocument/2006/relationships/image" Target="media/image11.wmf"/><Relationship Id="rId46" Type="http://schemas.openxmlformats.org/officeDocument/2006/relationships/image" Target="media/image21.wmf"/><Relationship Id="rId67" Type="http://schemas.openxmlformats.org/officeDocument/2006/relationships/oleObject" Target="embeddings/oleObject31.bin"/><Relationship Id="rId116" Type="http://schemas.openxmlformats.org/officeDocument/2006/relationships/oleObject" Target="embeddings/oleObject56.bin"/><Relationship Id="rId137" Type="http://schemas.openxmlformats.org/officeDocument/2006/relationships/image" Target="media/image64.wmf"/><Relationship Id="rId158" Type="http://schemas.openxmlformats.org/officeDocument/2006/relationships/image" Target="media/image74.wmf"/><Relationship Id="rId272" Type="http://schemas.openxmlformats.org/officeDocument/2006/relationships/oleObject" Target="embeddings/oleObject133.bin"/><Relationship Id="rId20" Type="http://schemas.openxmlformats.org/officeDocument/2006/relationships/oleObject" Target="embeddings/oleObject8.bin"/><Relationship Id="rId41" Type="http://schemas.openxmlformats.org/officeDocument/2006/relationships/oleObject" Target="embeddings/oleObject18.bin"/><Relationship Id="rId62" Type="http://schemas.openxmlformats.org/officeDocument/2006/relationships/image" Target="media/image29.wmf"/><Relationship Id="rId83" Type="http://schemas.openxmlformats.org/officeDocument/2006/relationships/oleObject" Target="embeddings/oleObject39.bin"/><Relationship Id="rId88" Type="http://schemas.openxmlformats.org/officeDocument/2006/relationships/image" Target="media/image41.wmf"/><Relationship Id="rId111" Type="http://schemas.openxmlformats.org/officeDocument/2006/relationships/image" Target="media/image51.wmf"/><Relationship Id="rId132" Type="http://schemas.openxmlformats.org/officeDocument/2006/relationships/oleObject" Target="embeddings/oleObject64.bin"/><Relationship Id="rId153" Type="http://schemas.openxmlformats.org/officeDocument/2006/relationships/oleObject" Target="embeddings/oleObject74.bin"/><Relationship Id="rId174" Type="http://schemas.openxmlformats.org/officeDocument/2006/relationships/image" Target="media/image82.wmf"/><Relationship Id="rId179" Type="http://schemas.openxmlformats.org/officeDocument/2006/relationships/oleObject" Target="embeddings/oleObject87.bin"/><Relationship Id="rId195" Type="http://schemas.openxmlformats.org/officeDocument/2006/relationships/oleObject" Target="embeddings/oleObject95.bin"/><Relationship Id="rId209" Type="http://schemas.openxmlformats.org/officeDocument/2006/relationships/image" Target="media/image99.wmf"/><Relationship Id="rId190" Type="http://schemas.openxmlformats.org/officeDocument/2006/relationships/image" Target="media/image90.wmf"/><Relationship Id="rId204" Type="http://schemas.openxmlformats.org/officeDocument/2006/relationships/oleObject" Target="embeddings/oleObject100.bin"/><Relationship Id="rId220" Type="http://schemas.openxmlformats.org/officeDocument/2006/relationships/oleObject" Target="embeddings/oleObject108.bin"/><Relationship Id="rId225" Type="http://schemas.openxmlformats.org/officeDocument/2006/relationships/image" Target="media/image107.wmf"/><Relationship Id="rId241" Type="http://schemas.openxmlformats.org/officeDocument/2006/relationships/image" Target="media/image114.wmf"/><Relationship Id="rId246" Type="http://schemas.openxmlformats.org/officeDocument/2006/relationships/oleObject" Target="embeddings/oleObject120.bin"/><Relationship Id="rId267" Type="http://schemas.openxmlformats.org/officeDocument/2006/relationships/image" Target="media/image127.wmf"/><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oleObject" Target="embeddings/oleObject26.bin"/><Relationship Id="rId106" Type="http://schemas.openxmlformats.org/officeDocument/2006/relationships/oleObject" Target="embeddings/oleObject51.bin"/><Relationship Id="rId127" Type="http://schemas.openxmlformats.org/officeDocument/2006/relationships/image" Target="media/image59.wmf"/><Relationship Id="rId262" Type="http://schemas.openxmlformats.org/officeDocument/2006/relationships/oleObject" Target="embeddings/oleObject128.bin"/><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image" Target="media/image24.wmf"/><Relationship Id="rId73" Type="http://schemas.openxmlformats.org/officeDocument/2006/relationships/oleObject" Target="embeddings/oleObject34.bin"/><Relationship Id="rId78" Type="http://schemas.openxmlformats.org/officeDocument/2006/relationships/image" Target="media/image37.wmf"/><Relationship Id="rId94" Type="http://schemas.openxmlformats.org/officeDocument/2006/relationships/image" Target="media/image44.wmf"/><Relationship Id="rId99" Type="http://schemas.openxmlformats.org/officeDocument/2006/relationships/oleObject" Target="embeddings/oleObject47.bin"/><Relationship Id="rId101" Type="http://schemas.openxmlformats.org/officeDocument/2006/relationships/image" Target="media/image46.wmf"/><Relationship Id="rId122" Type="http://schemas.openxmlformats.org/officeDocument/2006/relationships/oleObject" Target="embeddings/oleObject59.bin"/><Relationship Id="rId143" Type="http://schemas.openxmlformats.org/officeDocument/2006/relationships/image" Target="media/image67.wmf"/><Relationship Id="rId148" Type="http://schemas.openxmlformats.org/officeDocument/2006/relationships/oleObject" Target="embeddings/oleObject72.bin"/><Relationship Id="rId164" Type="http://schemas.openxmlformats.org/officeDocument/2006/relationships/image" Target="media/image77.wmf"/><Relationship Id="rId169" Type="http://schemas.openxmlformats.org/officeDocument/2006/relationships/oleObject" Target="embeddings/oleObject82.bin"/><Relationship Id="rId185" Type="http://schemas.openxmlformats.org/officeDocument/2006/relationships/oleObject" Target="embeddings/oleObject90.bin"/><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85.wmf"/><Relationship Id="rId210" Type="http://schemas.openxmlformats.org/officeDocument/2006/relationships/oleObject" Target="embeddings/oleObject103.bin"/><Relationship Id="rId215" Type="http://schemas.openxmlformats.org/officeDocument/2006/relationships/image" Target="media/image102.wmf"/><Relationship Id="rId236" Type="http://schemas.openxmlformats.org/officeDocument/2006/relationships/oleObject" Target="embeddings/oleObject115.bin"/><Relationship Id="rId257" Type="http://schemas.openxmlformats.org/officeDocument/2006/relationships/image" Target="media/image122.wmf"/><Relationship Id="rId278" Type="http://schemas.openxmlformats.org/officeDocument/2006/relationships/oleObject" Target="embeddings/oleObject136.bin"/><Relationship Id="rId26" Type="http://schemas.openxmlformats.org/officeDocument/2006/relationships/oleObject" Target="embeddings/oleObject11.bin"/><Relationship Id="rId231" Type="http://schemas.openxmlformats.org/officeDocument/2006/relationships/image" Target="media/image109.wmf"/><Relationship Id="rId252" Type="http://schemas.openxmlformats.org/officeDocument/2006/relationships/oleObject" Target="embeddings/oleObject123.bin"/><Relationship Id="rId273" Type="http://schemas.openxmlformats.org/officeDocument/2006/relationships/image" Target="media/image130.wmf"/><Relationship Id="rId47" Type="http://schemas.openxmlformats.org/officeDocument/2006/relationships/oleObject" Target="embeddings/oleObject21.bin"/><Relationship Id="rId68" Type="http://schemas.openxmlformats.org/officeDocument/2006/relationships/image" Target="media/image32.wmf"/><Relationship Id="rId89" Type="http://schemas.openxmlformats.org/officeDocument/2006/relationships/oleObject" Target="embeddings/oleObject42.bin"/><Relationship Id="rId112" Type="http://schemas.openxmlformats.org/officeDocument/2006/relationships/oleObject" Target="embeddings/oleObject54.bin"/><Relationship Id="rId133" Type="http://schemas.openxmlformats.org/officeDocument/2006/relationships/image" Target="media/image62.wmf"/><Relationship Id="rId154" Type="http://schemas.openxmlformats.org/officeDocument/2006/relationships/image" Target="media/image72.wmf"/><Relationship Id="rId175" Type="http://schemas.openxmlformats.org/officeDocument/2006/relationships/oleObject" Target="embeddings/oleObject85.bin"/><Relationship Id="rId196" Type="http://schemas.openxmlformats.org/officeDocument/2006/relationships/image" Target="media/image93.wmf"/><Relationship Id="rId200" Type="http://schemas.openxmlformats.org/officeDocument/2006/relationships/image" Target="media/image95.wmf"/><Relationship Id="rId16" Type="http://schemas.openxmlformats.org/officeDocument/2006/relationships/oleObject" Target="embeddings/oleObject6.bin"/><Relationship Id="rId221" Type="http://schemas.openxmlformats.org/officeDocument/2006/relationships/image" Target="media/image105.wmf"/><Relationship Id="rId242" Type="http://schemas.openxmlformats.org/officeDocument/2006/relationships/oleObject" Target="embeddings/oleObject118.bin"/><Relationship Id="rId263" Type="http://schemas.openxmlformats.org/officeDocument/2006/relationships/image" Target="media/image125.wmf"/><Relationship Id="rId37" Type="http://schemas.openxmlformats.org/officeDocument/2006/relationships/image" Target="media/image17.wmf"/><Relationship Id="rId58" Type="http://schemas.openxmlformats.org/officeDocument/2006/relationships/image" Target="media/image27.wmf"/><Relationship Id="rId79" Type="http://schemas.openxmlformats.org/officeDocument/2006/relationships/oleObject" Target="embeddings/oleObject37.bin"/><Relationship Id="rId102" Type="http://schemas.openxmlformats.org/officeDocument/2006/relationships/oleObject" Target="embeddings/oleObject49.bin"/><Relationship Id="rId123" Type="http://schemas.openxmlformats.org/officeDocument/2006/relationships/image" Target="media/image57.wmf"/><Relationship Id="rId144" Type="http://schemas.openxmlformats.org/officeDocument/2006/relationships/oleObject" Target="embeddings/oleObject70.bin"/><Relationship Id="rId90" Type="http://schemas.openxmlformats.org/officeDocument/2006/relationships/image" Target="media/image42.wmf"/><Relationship Id="rId165" Type="http://schemas.openxmlformats.org/officeDocument/2006/relationships/oleObject" Target="embeddings/oleObject80.bin"/><Relationship Id="rId186" Type="http://schemas.openxmlformats.org/officeDocument/2006/relationships/image" Target="media/image88.wmf"/><Relationship Id="rId211" Type="http://schemas.openxmlformats.org/officeDocument/2006/relationships/image" Target="media/image100.wmf"/><Relationship Id="rId232" Type="http://schemas.openxmlformats.org/officeDocument/2006/relationships/oleObject" Target="embeddings/oleObject113.bin"/><Relationship Id="rId253" Type="http://schemas.openxmlformats.org/officeDocument/2006/relationships/image" Target="media/image120.wmf"/><Relationship Id="rId274" Type="http://schemas.openxmlformats.org/officeDocument/2006/relationships/oleObject" Target="embeddings/oleObject134.bin"/><Relationship Id="rId27" Type="http://schemas.openxmlformats.org/officeDocument/2006/relationships/image" Target="media/image12.wmf"/><Relationship Id="rId48" Type="http://schemas.openxmlformats.org/officeDocument/2006/relationships/image" Target="media/image22.wmf"/><Relationship Id="rId69" Type="http://schemas.openxmlformats.org/officeDocument/2006/relationships/oleObject" Target="embeddings/oleObject32.bin"/><Relationship Id="rId113" Type="http://schemas.openxmlformats.org/officeDocument/2006/relationships/image" Target="media/image52.wmf"/><Relationship Id="rId134" Type="http://schemas.openxmlformats.org/officeDocument/2006/relationships/oleObject" Target="embeddings/oleObject65.bin"/><Relationship Id="rId80" Type="http://schemas.openxmlformats.org/officeDocument/2006/relationships/image" Target="media/image38.wmf"/><Relationship Id="rId155" Type="http://schemas.openxmlformats.org/officeDocument/2006/relationships/oleObject" Target="embeddings/oleObject75.bin"/><Relationship Id="rId176" Type="http://schemas.openxmlformats.org/officeDocument/2006/relationships/image" Target="media/image83.wmf"/><Relationship Id="rId197" Type="http://schemas.openxmlformats.org/officeDocument/2006/relationships/oleObject" Target="embeddings/oleObject96.bin"/><Relationship Id="rId201" Type="http://schemas.openxmlformats.org/officeDocument/2006/relationships/oleObject" Target="embeddings/oleObject98.bin"/><Relationship Id="rId222" Type="http://schemas.openxmlformats.org/officeDocument/2006/relationships/oleObject" Target="embeddings/oleObject109.bin"/><Relationship Id="rId243" Type="http://schemas.openxmlformats.org/officeDocument/2006/relationships/image" Target="media/image115.wmf"/><Relationship Id="rId264" Type="http://schemas.openxmlformats.org/officeDocument/2006/relationships/oleObject" Target="embeddings/oleObject129.bin"/><Relationship Id="rId17" Type="http://schemas.openxmlformats.org/officeDocument/2006/relationships/image" Target="media/image7.wmf"/><Relationship Id="rId38" Type="http://schemas.openxmlformats.org/officeDocument/2006/relationships/oleObject" Target="embeddings/oleObject17.bin"/><Relationship Id="rId59" Type="http://schemas.openxmlformats.org/officeDocument/2006/relationships/oleObject" Target="embeddings/oleObject27.bin"/><Relationship Id="rId103" Type="http://schemas.openxmlformats.org/officeDocument/2006/relationships/image" Target="media/image47.wmf"/><Relationship Id="rId124" Type="http://schemas.openxmlformats.org/officeDocument/2006/relationships/oleObject" Target="embeddings/oleObject60.bin"/><Relationship Id="rId70" Type="http://schemas.openxmlformats.org/officeDocument/2006/relationships/image" Target="media/image33.wmf"/><Relationship Id="rId91" Type="http://schemas.openxmlformats.org/officeDocument/2006/relationships/oleObject" Target="embeddings/oleObject43.bin"/><Relationship Id="rId145" Type="http://schemas.openxmlformats.org/officeDocument/2006/relationships/image" Target="media/image68.wmf"/><Relationship Id="rId166" Type="http://schemas.openxmlformats.org/officeDocument/2006/relationships/image" Target="media/image78.wmf"/><Relationship Id="rId187" Type="http://schemas.openxmlformats.org/officeDocument/2006/relationships/oleObject" Target="embeddings/oleObject91.bin"/><Relationship Id="rId1" Type="http://schemas.openxmlformats.org/officeDocument/2006/relationships/numbering" Target="numbering.xml"/><Relationship Id="rId212" Type="http://schemas.openxmlformats.org/officeDocument/2006/relationships/oleObject" Target="embeddings/oleObject104.bin"/><Relationship Id="rId233" Type="http://schemas.openxmlformats.org/officeDocument/2006/relationships/image" Target="media/image110.wmf"/><Relationship Id="rId254" Type="http://schemas.openxmlformats.org/officeDocument/2006/relationships/oleObject" Target="embeddings/oleObject124.bin"/><Relationship Id="rId28" Type="http://schemas.openxmlformats.org/officeDocument/2006/relationships/oleObject" Target="embeddings/oleObject12.bin"/><Relationship Id="rId49" Type="http://schemas.openxmlformats.org/officeDocument/2006/relationships/oleObject" Target="embeddings/oleObject22.bin"/><Relationship Id="rId114" Type="http://schemas.openxmlformats.org/officeDocument/2006/relationships/oleObject" Target="embeddings/oleObject55.bin"/><Relationship Id="rId275" Type="http://schemas.openxmlformats.org/officeDocument/2006/relationships/image" Target="media/image131.wmf"/><Relationship Id="rId60" Type="http://schemas.openxmlformats.org/officeDocument/2006/relationships/image" Target="media/image28.wmf"/><Relationship Id="rId81" Type="http://schemas.openxmlformats.org/officeDocument/2006/relationships/oleObject" Target="embeddings/oleObject38.bin"/><Relationship Id="rId135" Type="http://schemas.openxmlformats.org/officeDocument/2006/relationships/image" Target="media/image63.wmf"/><Relationship Id="rId156" Type="http://schemas.openxmlformats.org/officeDocument/2006/relationships/image" Target="media/image73.wmf"/><Relationship Id="rId177" Type="http://schemas.openxmlformats.org/officeDocument/2006/relationships/oleObject" Target="embeddings/oleObject86.bin"/><Relationship Id="rId198" Type="http://schemas.openxmlformats.org/officeDocument/2006/relationships/image" Target="media/image94.wmf"/></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_____Microsoft_Office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Office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Office_Excel6.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14285714285714293"/>
          <c:y val="8.5937500000000028E-2"/>
          <c:w val="0.80672268907563027"/>
          <c:h val="0.67187500000000044"/>
        </c:manualLayout>
      </c:layout>
      <c:scatterChart>
        <c:scatterStyle val="lineMarker"/>
        <c:ser>
          <c:idx val="0"/>
          <c:order val="0"/>
          <c:tx>
            <c:strRef>
              <c:f>Лист3!$N$11</c:f>
              <c:strCache>
                <c:ptCount val="1"/>
                <c:pt idx="0">
                  <c:v>металл</c:v>
                </c:pt>
              </c:strCache>
            </c:strRef>
          </c:tx>
          <c:spPr>
            <a:ln w="26798">
              <a:noFill/>
            </a:ln>
          </c:spPr>
          <c:marker>
            <c:symbol val="diamond"/>
            <c:size val="4"/>
            <c:spPr>
              <a:solidFill>
                <a:srgbClr val="000080"/>
              </a:solidFill>
              <a:ln>
                <a:solidFill>
                  <a:srgbClr val="000080"/>
                </a:solidFill>
                <a:prstDash val="solid"/>
              </a:ln>
            </c:spPr>
          </c:marker>
          <c:trendline>
            <c:spPr>
              <a:ln w="23820">
                <a:solidFill>
                  <a:srgbClr val="000000"/>
                </a:solidFill>
                <a:prstDash val="solid"/>
              </a:ln>
            </c:spPr>
            <c:trendlineType val="poly"/>
            <c:order val="2"/>
          </c:trendline>
          <c:xVal>
            <c:numRef>
              <c:f>Лист3!$O$10:$U$10</c:f>
              <c:numCache>
                <c:formatCode>General</c:formatCode>
                <c:ptCount val="7"/>
                <c:pt idx="0">
                  <c:v>180</c:v>
                </c:pt>
                <c:pt idx="1">
                  <c:v>160</c:v>
                </c:pt>
                <c:pt idx="2">
                  <c:v>150</c:v>
                </c:pt>
                <c:pt idx="3">
                  <c:v>140</c:v>
                </c:pt>
                <c:pt idx="4">
                  <c:v>130</c:v>
                </c:pt>
                <c:pt idx="5">
                  <c:v>120</c:v>
                </c:pt>
                <c:pt idx="6">
                  <c:v>110</c:v>
                </c:pt>
              </c:numCache>
            </c:numRef>
          </c:xVal>
          <c:yVal>
            <c:numRef>
              <c:f>Лист3!$O$11:$U$11</c:f>
              <c:numCache>
                <c:formatCode>General</c:formatCode>
                <c:ptCount val="7"/>
                <c:pt idx="0">
                  <c:v>0</c:v>
                </c:pt>
                <c:pt idx="1">
                  <c:v>0.9</c:v>
                </c:pt>
                <c:pt idx="2">
                  <c:v>2</c:v>
                </c:pt>
                <c:pt idx="3">
                  <c:v>2.7</c:v>
                </c:pt>
                <c:pt idx="4">
                  <c:v>4.2</c:v>
                </c:pt>
                <c:pt idx="5">
                  <c:v>5.8</c:v>
                </c:pt>
                <c:pt idx="6">
                  <c:v>7.4</c:v>
                </c:pt>
              </c:numCache>
            </c:numRef>
          </c:yVal>
        </c:ser>
        <c:ser>
          <c:idx val="1"/>
          <c:order val="1"/>
          <c:tx>
            <c:strRef>
              <c:f>Лист3!$N$12</c:f>
              <c:strCache>
                <c:ptCount val="1"/>
                <c:pt idx="0">
                  <c:v>топливо</c:v>
                </c:pt>
              </c:strCache>
            </c:strRef>
          </c:tx>
          <c:spPr>
            <a:ln w="26798">
              <a:noFill/>
            </a:ln>
          </c:spPr>
          <c:marker>
            <c:symbol val="square"/>
            <c:size val="4"/>
            <c:spPr>
              <a:solidFill>
                <a:srgbClr val="FF00FF"/>
              </a:solidFill>
              <a:ln>
                <a:solidFill>
                  <a:srgbClr val="FF00FF"/>
                </a:solidFill>
                <a:prstDash val="solid"/>
              </a:ln>
            </c:spPr>
          </c:marker>
          <c:trendline>
            <c:spPr>
              <a:ln w="23820">
                <a:solidFill>
                  <a:srgbClr val="000000"/>
                </a:solidFill>
                <a:prstDash val="solid"/>
              </a:ln>
            </c:spPr>
            <c:trendlineType val="poly"/>
            <c:order val="2"/>
          </c:trendline>
          <c:xVal>
            <c:numRef>
              <c:f>Лист3!$O$10:$U$10</c:f>
              <c:numCache>
                <c:formatCode>General</c:formatCode>
                <c:ptCount val="7"/>
                <c:pt idx="0">
                  <c:v>180</c:v>
                </c:pt>
                <c:pt idx="1">
                  <c:v>160</c:v>
                </c:pt>
                <c:pt idx="2">
                  <c:v>150</c:v>
                </c:pt>
                <c:pt idx="3">
                  <c:v>140</c:v>
                </c:pt>
                <c:pt idx="4">
                  <c:v>130</c:v>
                </c:pt>
                <c:pt idx="5">
                  <c:v>120</c:v>
                </c:pt>
                <c:pt idx="6">
                  <c:v>110</c:v>
                </c:pt>
              </c:numCache>
            </c:numRef>
          </c:xVal>
          <c:yVal>
            <c:numRef>
              <c:f>Лист3!$O$12:$U$12</c:f>
              <c:numCache>
                <c:formatCode>General</c:formatCode>
                <c:ptCount val="7"/>
                <c:pt idx="0">
                  <c:v>0</c:v>
                </c:pt>
                <c:pt idx="1">
                  <c:v>1</c:v>
                </c:pt>
                <c:pt idx="2">
                  <c:v>2.1</c:v>
                </c:pt>
                <c:pt idx="3">
                  <c:v>2.7</c:v>
                </c:pt>
                <c:pt idx="4">
                  <c:v>4</c:v>
                </c:pt>
                <c:pt idx="5">
                  <c:v>4.8</c:v>
                </c:pt>
                <c:pt idx="6">
                  <c:v>5.5</c:v>
                </c:pt>
              </c:numCache>
            </c:numRef>
          </c:yVal>
        </c:ser>
        <c:axId val="175282432"/>
        <c:axId val="175288704"/>
      </c:scatterChart>
      <c:valAx>
        <c:axId val="175282432"/>
        <c:scaling>
          <c:orientation val="minMax"/>
          <c:max val="180"/>
          <c:min val="100"/>
        </c:scaling>
        <c:axPos val="b"/>
        <c:title>
          <c:tx>
            <c:rich>
              <a:bodyPr/>
              <a:lstStyle/>
              <a:p>
                <a:pPr>
                  <a:defRPr sz="961" b="1" i="0" u="none" strike="noStrike" baseline="0">
                    <a:solidFill>
                      <a:srgbClr val="000000"/>
                    </a:solidFill>
                    <a:latin typeface="Arial Cyr"/>
                    <a:ea typeface="Arial Cyr"/>
                    <a:cs typeface="Arial Cyr"/>
                  </a:defRPr>
                </a:pPr>
                <a:r>
                  <a:t>Температура газов, С</a:t>
                </a:r>
              </a:p>
            </c:rich>
          </c:tx>
          <c:layout>
            <c:manualLayout>
              <c:xMode val="edge"/>
              <c:yMode val="edge"/>
              <c:x val="0.37815126050420178"/>
              <c:y val="0.89062500000000022"/>
            </c:manualLayout>
          </c:layout>
          <c:spPr>
            <a:noFill/>
            <a:ln w="23820">
              <a:noFill/>
            </a:ln>
          </c:spPr>
        </c:title>
        <c:numFmt formatCode="General" sourceLinked="1"/>
        <c:tickLblPos val="nextTo"/>
        <c:spPr>
          <a:ln w="2978">
            <a:solidFill>
              <a:srgbClr val="000000"/>
            </a:solidFill>
            <a:prstDash val="solid"/>
          </a:ln>
        </c:spPr>
        <c:txPr>
          <a:bodyPr rot="0" vert="horz"/>
          <a:lstStyle/>
          <a:p>
            <a:pPr>
              <a:defRPr sz="961" b="1" i="0" u="none" strike="noStrike" baseline="0">
                <a:solidFill>
                  <a:srgbClr val="000000"/>
                </a:solidFill>
                <a:latin typeface="Arial Cyr"/>
                <a:ea typeface="Arial Cyr"/>
                <a:cs typeface="Arial Cyr"/>
              </a:defRPr>
            </a:pPr>
            <a:endParaRPr lang="ru-RU"/>
          </a:p>
        </c:txPr>
        <c:crossAx val="175288704"/>
        <c:crosses val="autoZero"/>
        <c:crossBetween val="midCat"/>
        <c:majorUnit val="20"/>
      </c:valAx>
      <c:valAx>
        <c:axId val="175288704"/>
        <c:scaling>
          <c:orientation val="minMax"/>
          <c:min val="0"/>
        </c:scaling>
        <c:axPos val="l"/>
        <c:majorGridlines>
          <c:spPr>
            <a:ln w="2978">
              <a:solidFill>
                <a:srgbClr val="000000"/>
              </a:solidFill>
              <a:prstDash val="solid"/>
            </a:ln>
          </c:spPr>
        </c:majorGridlines>
        <c:title>
          <c:tx>
            <c:rich>
              <a:bodyPr/>
              <a:lstStyle/>
              <a:p>
                <a:pPr>
                  <a:defRPr sz="961" b="1" i="0" u="none" strike="noStrike" baseline="0">
                    <a:solidFill>
                      <a:srgbClr val="000000"/>
                    </a:solidFill>
                    <a:latin typeface="Arial Cyr"/>
                    <a:ea typeface="Arial Cyr"/>
                    <a:cs typeface="Arial Cyr"/>
                  </a:defRPr>
                </a:pPr>
                <a:r>
                  <a:t>Экономия и затраты, млн. руб</a:t>
                </a:r>
              </a:p>
            </c:rich>
          </c:tx>
          <c:layout>
            <c:manualLayout>
              <c:xMode val="edge"/>
              <c:yMode val="edge"/>
              <c:x val="1.260504201680672E-2"/>
              <c:y val="5.4687500000000014E-2"/>
            </c:manualLayout>
          </c:layout>
          <c:spPr>
            <a:noFill/>
            <a:ln w="23820">
              <a:noFill/>
            </a:ln>
          </c:spPr>
        </c:title>
        <c:numFmt formatCode="General" sourceLinked="1"/>
        <c:tickLblPos val="nextTo"/>
        <c:spPr>
          <a:ln w="2978">
            <a:solidFill>
              <a:srgbClr val="000000"/>
            </a:solidFill>
            <a:prstDash val="solid"/>
          </a:ln>
        </c:spPr>
        <c:txPr>
          <a:bodyPr rot="0" vert="horz"/>
          <a:lstStyle/>
          <a:p>
            <a:pPr>
              <a:defRPr sz="961" b="1" i="0" u="none" strike="noStrike" baseline="0">
                <a:solidFill>
                  <a:srgbClr val="000000"/>
                </a:solidFill>
                <a:latin typeface="Arial Cyr"/>
                <a:ea typeface="Arial Cyr"/>
                <a:cs typeface="Arial Cyr"/>
              </a:defRPr>
            </a:pPr>
            <a:endParaRPr lang="ru-RU"/>
          </a:p>
        </c:txPr>
        <c:crossAx val="175282432"/>
        <c:crosses val="autoZero"/>
        <c:crossBetween val="midCat"/>
        <c:majorUnit val="2"/>
      </c:valAx>
      <c:spPr>
        <a:solidFill>
          <a:srgbClr val="FFFFFF"/>
        </a:solidFill>
        <a:ln w="11910">
          <a:solidFill>
            <a:srgbClr val="808080"/>
          </a:solidFill>
          <a:prstDash val="solid"/>
        </a:ln>
      </c:spPr>
    </c:plotArea>
    <c:plotVisOnly val="1"/>
    <c:dispBlanksAs val="gap"/>
  </c:chart>
  <c:spPr>
    <a:solidFill>
      <a:srgbClr val="FFFFFF"/>
    </a:solidFill>
    <a:ln w="2978">
      <a:solidFill>
        <a:srgbClr val="000000"/>
      </a:solidFill>
      <a:prstDash val="solid"/>
    </a:ln>
  </c:spPr>
  <c:txPr>
    <a:bodyPr/>
    <a:lstStyle/>
    <a:p>
      <a:pPr>
        <a:defRPr sz="961" b="1" i="0" u="none" strike="noStrike" baseline="0">
          <a:solidFill>
            <a:srgbClr val="000000"/>
          </a:solidFill>
          <a:latin typeface="Arial Cyr"/>
          <a:ea typeface="Arial Cyr"/>
          <a:cs typeface="Arial Cyr"/>
        </a:defRPr>
      </a:pPr>
      <a:endParaRPr lang="ru-RU"/>
    </a:p>
  </c:tx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17025862068965517"/>
          <c:y val="0.10156250000000003"/>
          <c:w val="0.77586206896551724"/>
          <c:h val="0.57031249999999978"/>
        </c:manualLayout>
      </c:layout>
      <c:scatterChart>
        <c:scatterStyle val="lineMarker"/>
        <c:ser>
          <c:idx val="0"/>
          <c:order val="0"/>
          <c:spPr>
            <a:ln w="28551">
              <a:noFill/>
            </a:ln>
          </c:spPr>
          <c:marker>
            <c:symbol val="none"/>
          </c:marker>
          <c:trendline>
            <c:spPr>
              <a:ln w="25379">
                <a:solidFill>
                  <a:srgbClr val="000000"/>
                </a:solidFill>
                <a:prstDash val="solid"/>
              </a:ln>
            </c:spPr>
            <c:trendlineType val="linear"/>
          </c:trendline>
          <c:xVal>
            <c:numRef>
              <c:f>Лист3!$C$32:$J$32</c:f>
              <c:numCache>
                <c:formatCode>General</c:formatCode>
                <c:ptCount val="8"/>
                <c:pt idx="0">
                  <c:v>30</c:v>
                </c:pt>
                <c:pt idx="1">
                  <c:v>40</c:v>
                </c:pt>
                <c:pt idx="2">
                  <c:v>50</c:v>
                </c:pt>
                <c:pt idx="3">
                  <c:v>60</c:v>
                </c:pt>
                <c:pt idx="4">
                  <c:v>70</c:v>
                </c:pt>
                <c:pt idx="5">
                  <c:v>80</c:v>
                </c:pt>
                <c:pt idx="6">
                  <c:v>90</c:v>
                </c:pt>
                <c:pt idx="7">
                  <c:v>100</c:v>
                </c:pt>
              </c:numCache>
            </c:numRef>
          </c:xVal>
          <c:yVal>
            <c:numRef>
              <c:f>Лист3!$C$33:$J$33</c:f>
              <c:numCache>
                <c:formatCode>General</c:formatCode>
                <c:ptCount val="8"/>
                <c:pt idx="0">
                  <c:v>5.4246575342465757</c:v>
                </c:pt>
                <c:pt idx="1">
                  <c:v>5.9178082191780801</c:v>
                </c:pt>
                <c:pt idx="2">
                  <c:v>6.4109589041095889</c:v>
                </c:pt>
                <c:pt idx="3">
                  <c:v>6.904109589041096</c:v>
                </c:pt>
                <c:pt idx="4">
                  <c:v>7.3972602739726021</c:v>
                </c:pt>
                <c:pt idx="5">
                  <c:v>7.8904109589041074</c:v>
                </c:pt>
                <c:pt idx="6">
                  <c:v>8.3835616438356162</c:v>
                </c:pt>
                <c:pt idx="7">
                  <c:v>8.8767123287671268</c:v>
                </c:pt>
              </c:numCache>
            </c:numRef>
          </c:yVal>
        </c:ser>
        <c:ser>
          <c:idx val="1"/>
          <c:order val="1"/>
          <c:spPr>
            <a:ln w="28551">
              <a:noFill/>
            </a:ln>
          </c:spPr>
          <c:marker>
            <c:symbol val="none"/>
          </c:marker>
          <c:trendline>
            <c:spPr>
              <a:ln w="25379">
                <a:solidFill>
                  <a:srgbClr val="000000"/>
                </a:solidFill>
                <a:prstDash val="solid"/>
              </a:ln>
            </c:spPr>
            <c:trendlineType val="log"/>
          </c:trendline>
          <c:xVal>
            <c:numRef>
              <c:f>Лист3!$C$32:$J$32</c:f>
              <c:numCache>
                <c:formatCode>General</c:formatCode>
                <c:ptCount val="8"/>
                <c:pt idx="0">
                  <c:v>30</c:v>
                </c:pt>
                <c:pt idx="1">
                  <c:v>40</c:v>
                </c:pt>
                <c:pt idx="2">
                  <c:v>50</c:v>
                </c:pt>
                <c:pt idx="3">
                  <c:v>60</c:v>
                </c:pt>
                <c:pt idx="4">
                  <c:v>70</c:v>
                </c:pt>
                <c:pt idx="5">
                  <c:v>80</c:v>
                </c:pt>
                <c:pt idx="6">
                  <c:v>90</c:v>
                </c:pt>
                <c:pt idx="7">
                  <c:v>100</c:v>
                </c:pt>
              </c:numCache>
            </c:numRef>
          </c:xVal>
          <c:yVal>
            <c:numRef>
              <c:f>Лист3!$C$34:$J$34</c:f>
              <c:numCache>
                <c:formatCode>General</c:formatCode>
                <c:ptCount val="8"/>
                <c:pt idx="0">
                  <c:v>1.7</c:v>
                </c:pt>
                <c:pt idx="1">
                  <c:v>1</c:v>
                </c:pt>
                <c:pt idx="2">
                  <c:v>0.3000000000000001</c:v>
                </c:pt>
              </c:numCache>
            </c:numRef>
          </c:yVal>
        </c:ser>
        <c:ser>
          <c:idx val="2"/>
          <c:order val="2"/>
          <c:spPr>
            <a:ln w="28551">
              <a:noFill/>
            </a:ln>
          </c:spPr>
          <c:marker>
            <c:symbol val="none"/>
          </c:marker>
          <c:trendline>
            <c:spPr>
              <a:ln w="25379">
                <a:solidFill>
                  <a:srgbClr val="000000"/>
                </a:solidFill>
                <a:prstDash val="solid"/>
              </a:ln>
            </c:spPr>
            <c:trendlineType val="power"/>
          </c:trendline>
          <c:xVal>
            <c:numRef>
              <c:f>Лист3!$C$32:$J$32</c:f>
              <c:numCache>
                <c:formatCode>General</c:formatCode>
                <c:ptCount val="8"/>
                <c:pt idx="0">
                  <c:v>30</c:v>
                </c:pt>
                <c:pt idx="1">
                  <c:v>40</c:v>
                </c:pt>
                <c:pt idx="2">
                  <c:v>50</c:v>
                </c:pt>
                <c:pt idx="3">
                  <c:v>60</c:v>
                </c:pt>
                <c:pt idx="4">
                  <c:v>70</c:v>
                </c:pt>
                <c:pt idx="5">
                  <c:v>80</c:v>
                </c:pt>
                <c:pt idx="6">
                  <c:v>90</c:v>
                </c:pt>
                <c:pt idx="7">
                  <c:v>100</c:v>
                </c:pt>
              </c:numCache>
            </c:numRef>
          </c:xVal>
          <c:yVal>
            <c:numRef>
              <c:f>Лист3!$C$35:$J$35</c:f>
              <c:numCache>
                <c:formatCode>General</c:formatCode>
                <c:ptCount val="8"/>
                <c:pt idx="0">
                  <c:v>2.4</c:v>
                </c:pt>
                <c:pt idx="1">
                  <c:v>2.2000000000000002</c:v>
                </c:pt>
                <c:pt idx="2">
                  <c:v>2</c:v>
                </c:pt>
                <c:pt idx="3">
                  <c:v>1.8</c:v>
                </c:pt>
                <c:pt idx="4">
                  <c:v>1.6</c:v>
                </c:pt>
                <c:pt idx="5">
                  <c:v>1.4</c:v>
                </c:pt>
                <c:pt idx="6">
                  <c:v>1.2</c:v>
                </c:pt>
                <c:pt idx="7">
                  <c:v>1</c:v>
                </c:pt>
              </c:numCache>
            </c:numRef>
          </c:yVal>
        </c:ser>
        <c:axId val="175615360"/>
        <c:axId val="175687168"/>
      </c:scatterChart>
      <c:valAx>
        <c:axId val="175615360"/>
        <c:scaling>
          <c:orientation val="minMax"/>
          <c:max val="100"/>
          <c:min val="30"/>
        </c:scaling>
        <c:axPos val="b"/>
        <c:title>
          <c:tx>
            <c:rich>
              <a:bodyPr/>
              <a:lstStyle/>
              <a:p>
                <a:pPr>
                  <a:defRPr sz="1324" b="0" i="0" u="none" strike="noStrike" baseline="0">
                    <a:solidFill>
                      <a:srgbClr val="000000"/>
                    </a:solidFill>
                    <a:latin typeface="Times New Roman"/>
                    <a:ea typeface="Times New Roman"/>
                    <a:cs typeface="Times New Roman"/>
                  </a:defRPr>
                </a:pPr>
                <a:r>
                  <a:t>Нагрузка, %</a:t>
                </a:r>
              </a:p>
            </c:rich>
          </c:tx>
          <c:layout>
            <c:manualLayout>
              <c:xMode val="edge"/>
              <c:yMode val="edge"/>
              <c:x val="0.44827587826689452"/>
              <c:y val="0.8359374065583578"/>
            </c:manualLayout>
          </c:layout>
          <c:spPr>
            <a:noFill/>
            <a:ln w="25379">
              <a:noFill/>
            </a:ln>
          </c:spPr>
        </c:title>
        <c:numFmt formatCode="General" sourceLinked="1"/>
        <c:tickLblPos val="nextTo"/>
        <c:spPr>
          <a:ln w="3172">
            <a:solidFill>
              <a:srgbClr val="000000"/>
            </a:solidFill>
            <a:prstDash val="solid"/>
          </a:ln>
        </c:spPr>
        <c:txPr>
          <a:bodyPr rot="0" vert="horz"/>
          <a:lstStyle/>
          <a:p>
            <a:pPr>
              <a:defRPr sz="1324" b="0" i="0" u="none" strike="noStrike" baseline="0">
                <a:solidFill>
                  <a:srgbClr val="000000"/>
                </a:solidFill>
                <a:latin typeface="Times New Roman"/>
                <a:ea typeface="Times New Roman"/>
                <a:cs typeface="Times New Roman"/>
              </a:defRPr>
            </a:pPr>
            <a:endParaRPr lang="ru-RU"/>
          </a:p>
        </c:txPr>
        <c:crossAx val="175687168"/>
        <c:crosses val="autoZero"/>
        <c:crossBetween val="midCat"/>
      </c:valAx>
      <c:valAx>
        <c:axId val="175687168"/>
        <c:scaling>
          <c:orientation val="minMax"/>
          <c:min val="0"/>
        </c:scaling>
        <c:axPos val="l"/>
        <c:majorGridlines>
          <c:spPr>
            <a:ln w="3172">
              <a:solidFill>
                <a:srgbClr val="000000"/>
              </a:solidFill>
              <a:prstDash val="solid"/>
            </a:ln>
          </c:spPr>
        </c:majorGridlines>
        <c:title>
          <c:tx>
            <c:rich>
              <a:bodyPr/>
              <a:lstStyle/>
              <a:p>
                <a:pPr>
                  <a:defRPr sz="1324" b="0" i="0" u="none" strike="noStrike" baseline="0">
                    <a:solidFill>
                      <a:srgbClr val="000000"/>
                    </a:solidFill>
                    <a:latin typeface="Times New Roman"/>
                    <a:ea typeface="Times New Roman"/>
                    <a:cs typeface="Times New Roman"/>
                  </a:defRPr>
                </a:pPr>
                <a:r>
                  <a:t>Потенри теплоты, %</a:t>
                </a:r>
              </a:p>
            </c:rich>
          </c:tx>
          <c:layout>
            <c:manualLayout>
              <c:xMode val="edge"/>
              <c:yMode val="edge"/>
              <c:x val="2.3706835303305203E-2"/>
              <c:y val="5.8593751730400795E-2"/>
            </c:manualLayout>
          </c:layout>
          <c:spPr>
            <a:noFill/>
            <a:ln w="25379">
              <a:noFill/>
            </a:ln>
          </c:spPr>
        </c:title>
        <c:numFmt formatCode="General" sourceLinked="1"/>
        <c:tickLblPos val="nextTo"/>
        <c:spPr>
          <a:ln w="3172">
            <a:solidFill>
              <a:srgbClr val="000000"/>
            </a:solidFill>
            <a:prstDash val="solid"/>
          </a:ln>
        </c:spPr>
        <c:txPr>
          <a:bodyPr rot="0" vert="horz"/>
          <a:lstStyle/>
          <a:p>
            <a:pPr>
              <a:defRPr sz="1324" b="0" i="0" u="none" strike="noStrike" baseline="0">
                <a:solidFill>
                  <a:srgbClr val="000000"/>
                </a:solidFill>
                <a:latin typeface="Times New Roman"/>
                <a:ea typeface="Times New Roman"/>
                <a:cs typeface="Times New Roman"/>
              </a:defRPr>
            </a:pPr>
            <a:endParaRPr lang="ru-RU"/>
          </a:p>
        </c:txPr>
        <c:crossAx val="175615360"/>
        <c:crosses val="autoZero"/>
        <c:crossBetween val="midCat"/>
      </c:valAx>
      <c:spPr>
        <a:solidFill>
          <a:srgbClr val="FFFFFF"/>
        </a:solidFill>
        <a:ln w="12689">
          <a:solidFill>
            <a:srgbClr val="808080"/>
          </a:solidFill>
          <a:prstDash val="solid"/>
        </a:ln>
      </c:spPr>
    </c:plotArea>
    <c:plotVisOnly val="1"/>
    <c:dispBlanksAs val="gap"/>
  </c:chart>
  <c:spPr>
    <a:solidFill>
      <a:srgbClr val="FFFFFF"/>
    </a:solidFill>
    <a:ln w="3172">
      <a:solidFill>
        <a:srgbClr val="000000"/>
      </a:solidFill>
      <a:prstDash val="solid"/>
    </a:ln>
  </c:spPr>
  <c:txPr>
    <a:bodyPr/>
    <a:lstStyle/>
    <a:p>
      <a:pPr>
        <a:defRPr sz="1324" b="0" i="0" u="none" strike="noStrike" baseline="0">
          <a:solidFill>
            <a:srgbClr val="000000"/>
          </a:solidFill>
          <a:latin typeface="Times New Roman"/>
          <a:ea typeface="Times New Roman"/>
          <a:cs typeface="Times New Roman"/>
        </a:defRPr>
      </a:pPr>
      <a:endParaRPr lang="ru-RU"/>
    </a:p>
  </c:txPr>
  <c:externalData r:id="rId1"/>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1896243291592129"/>
          <c:y val="9.2409240924092431E-2"/>
          <c:w val="0.75849731663685183"/>
          <c:h val="0.58085808580858089"/>
        </c:manualLayout>
      </c:layout>
      <c:scatterChart>
        <c:scatterStyle val="lineMarker"/>
        <c:ser>
          <c:idx val="0"/>
          <c:order val="0"/>
          <c:spPr>
            <a:ln w="28518">
              <a:noFill/>
            </a:ln>
          </c:spPr>
          <c:marker>
            <c:symbol val="none"/>
          </c:marker>
          <c:trendline>
            <c:spPr>
              <a:ln w="25350">
                <a:solidFill>
                  <a:srgbClr val="000000"/>
                </a:solidFill>
                <a:prstDash val="solid"/>
              </a:ln>
            </c:spPr>
            <c:trendlineType val="poly"/>
            <c:order val="2"/>
          </c:trendline>
          <c:xVal>
            <c:numRef>
              <c:f>Лист3!$C$37:$J$37</c:f>
              <c:numCache>
                <c:formatCode>General</c:formatCode>
                <c:ptCount val="8"/>
                <c:pt idx="0">
                  <c:v>30</c:v>
                </c:pt>
                <c:pt idx="1">
                  <c:v>40</c:v>
                </c:pt>
                <c:pt idx="2">
                  <c:v>50</c:v>
                </c:pt>
                <c:pt idx="3">
                  <c:v>60</c:v>
                </c:pt>
                <c:pt idx="4">
                  <c:v>70</c:v>
                </c:pt>
                <c:pt idx="5">
                  <c:v>80</c:v>
                </c:pt>
                <c:pt idx="6">
                  <c:v>90</c:v>
                </c:pt>
                <c:pt idx="7">
                  <c:v>100</c:v>
                </c:pt>
              </c:numCache>
            </c:numRef>
          </c:xVal>
          <c:yVal>
            <c:numRef>
              <c:f>Лист3!$C$38:$J$38</c:f>
              <c:numCache>
                <c:formatCode>General</c:formatCode>
                <c:ptCount val="8"/>
                <c:pt idx="0">
                  <c:v>90.475342465753386</c:v>
                </c:pt>
                <c:pt idx="1">
                  <c:v>90.882191780821884</c:v>
                </c:pt>
                <c:pt idx="2">
                  <c:v>91.289041095890411</c:v>
                </c:pt>
                <c:pt idx="3">
                  <c:v>91.195890410958867</c:v>
                </c:pt>
                <c:pt idx="4">
                  <c:v>91.002739726027372</c:v>
                </c:pt>
                <c:pt idx="5">
                  <c:v>90.709589041095896</c:v>
                </c:pt>
                <c:pt idx="6">
                  <c:v>90.416438356164335</c:v>
                </c:pt>
                <c:pt idx="7">
                  <c:v>90.123287671232873</c:v>
                </c:pt>
              </c:numCache>
            </c:numRef>
          </c:yVal>
        </c:ser>
        <c:axId val="175732224"/>
        <c:axId val="175734144"/>
      </c:scatterChart>
      <c:valAx>
        <c:axId val="175732224"/>
        <c:scaling>
          <c:orientation val="minMax"/>
          <c:max val="100"/>
          <c:min val="30"/>
        </c:scaling>
        <c:axPos val="b"/>
        <c:title>
          <c:tx>
            <c:rich>
              <a:bodyPr/>
              <a:lstStyle/>
              <a:p>
                <a:pPr>
                  <a:defRPr sz="1547" b="0" i="0" u="none" strike="noStrike" baseline="0">
                    <a:solidFill>
                      <a:srgbClr val="000000"/>
                    </a:solidFill>
                    <a:latin typeface="Times New Roman"/>
                    <a:ea typeface="Times New Roman"/>
                    <a:cs typeface="Times New Roman"/>
                  </a:defRPr>
                </a:pPr>
                <a:r>
                  <a:t>Нагрузка, %</a:t>
                </a:r>
              </a:p>
            </c:rich>
          </c:tx>
          <c:layout>
            <c:manualLayout>
              <c:xMode val="edge"/>
              <c:yMode val="edge"/>
              <c:x val="0.46869409660107325"/>
              <c:y val="0.84158415841584155"/>
            </c:manualLayout>
          </c:layout>
          <c:spPr>
            <a:noFill/>
            <a:ln w="25350">
              <a:noFill/>
            </a:ln>
          </c:spPr>
        </c:title>
        <c:numFmt formatCode="General" sourceLinked="1"/>
        <c:tickLblPos val="nextTo"/>
        <c:spPr>
          <a:ln w="3169">
            <a:solidFill>
              <a:srgbClr val="000000"/>
            </a:solidFill>
            <a:prstDash val="solid"/>
          </a:ln>
        </c:spPr>
        <c:txPr>
          <a:bodyPr rot="0" vert="horz"/>
          <a:lstStyle/>
          <a:p>
            <a:pPr>
              <a:defRPr sz="1547" b="0" i="0" u="none" strike="noStrike" baseline="0">
                <a:solidFill>
                  <a:srgbClr val="000000"/>
                </a:solidFill>
                <a:latin typeface="Times New Roman"/>
                <a:ea typeface="Times New Roman"/>
                <a:cs typeface="Times New Roman"/>
              </a:defRPr>
            </a:pPr>
            <a:endParaRPr lang="ru-RU"/>
          </a:p>
        </c:txPr>
        <c:crossAx val="175734144"/>
        <c:crosses val="autoZero"/>
        <c:crossBetween val="midCat"/>
      </c:valAx>
      <c:valAx>
        <c:axId val="175734144"/>
        <c:scaling>
          <c:orientation val="minMax"/>
          <c:max val="91.4"/>
          <c:min val="89.8"/>
        </c:scaling>
        <c:axPos val="l"/>
        <c:majorGridlines>
          <c:spPr>
            <a:ln w="3169">
              <a:solidFill>
                <a:srgbClr val="000000"/>
              </a:solidFill>
              <a:prstDash val="solid"/>
            </a:ln>
          </c:spPr>
        </c:majorGridlines>
        <c:title>
          <c:tx>
            <c:rich>
              <a:bodyPr/>
              <a:lstStyle/>
              <a:p>
                <a:pPr>
                  <a:defRPr sz="1547" b="0" i="0" u="none" strike="noStrike" baseline="0">
                    <a:solidFill>
                      <a:srgbClr val="000000"/>
                    </a:solidFill>
                    <a:latin typeface="Times New Roman"/>
                    <a:ea typeface="Times New Roman"/>
                    <a:cs typeface="Times New Roman"/>
                  </a:defRPr>
                </a:pPr>
                <a:r>
                  <a:t>кпд, %</a:t>
                </a:r>
              </a:p>
            </c:rich>
          </c:tx>
          <c:layout>
            <c:manualLayout>
              <c:xMode val="edge"/>
              <c:yMode val="edge"/>
              <c:x val="1.9677996422182469E-2"/>
              <c:y val="0.27392739273927402"/>
            </c:manualLayout>
          </c:layout>
          <c:spPr>
            <a:noFill/>
            <a:ln w="25350">
              <a:noFill/>
            </a:ln>
          </c:spPr>
        </c:title>
        <c:numFmt formatCode="General" sourceLinked="1"/>
        <c:tickLblPos val="nextTo"/>
        <c:spPr>
          <a:ln w="3169">
            <a:solidFill>
              <a:srgbClr val="000000"/>
            </a:solidFill>
            <a:prstDash val="solid"/>
          </a:ln>
        </c:spPr>
        <c:txPr>
          <a:bodyPr rot="0" vert="horz"/>
          <a:lstStyle/>
          <a:p>
            <a:pPr>
              <a:defRPr sz="1547" b="0" i="0" u="none" strike="noStrike" baseline="0">
                <a:solidFill>
                  <a:srgbClr val="000000"/>
                </a:solidFill>
                <a:latin typeface="Times New Roman"/>
                <a:ea typeface="Times New Roman"/>
                <a:cs typeface="Times New Roman"/>
              </a:defRPr>
            </a:pPr>
            <a:endParaRPr lang="ru-RU"/>
          </a:p>
        </c:txPr>
        <c:crossAx val="175732224"/>
        <c:crosses val="autoZero"/>
        <c:crossBetween val="midCat"/>
        <c:majorUnit val="0.4"/>
      </c:valAx>
      <c:spPr>
        <a:solidFill>
          <a:srgbClr val="FFFFFF"/>
        </a:solidFill>
        <a:ln w="12675">
          <a:solidFill>
            <a:srgbClr val="808080"/>
          </a:solidFill>
          <a:prstDash val="solid"/>
        </a:ln>
      </c:spPr>
    </c:plotArea>
    <c:plotVisOnly val="1"/>
    <c:dispBlanksAs val="gap"/>
  </c:chart>
  <c:spPr>
    <a:solidFill>
      <a:srgbClr val="FFFFFF"/>
    </a:solidFill>
    <a:ln w="3169">
      <a:solidFill>
        <a:srgbClr val="000000"/>
      </a:solidFill>
      <a:prstDash val="solid"/>
    </a:ln>
  </c:spPr>
  <c:txPr>
    <a:bodyPr/>
    <a:lstStyle/>
    <a:p>
      <a:pPr>
        <a:defRPr sz="1547" b="0" i="0" u="none" strike="noStrike" baseline="0">
          <a:solidFill>
            <a:srgbClr val="000000"/>
          </a:solidFill>
          <a:latin typeface="Times New Roman"/>
          <a:ea typeface="Times New Roman"/>
          <a:cs typeface="Times New Roman"/>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2138364779874215"/>
          <c:y val="0.10330578512396696"/>
          <c:w val="0.73165618448637315"/>
          <c:h val="0.5619834710743804"/>
        </c:manualLayout>
      </c:layout>
      <c:scatterChart>
        <c:scatterStyle val="lineMarker"/>
        <c:ser>
          <c:idx val="0"/>
          <c:order val="0"/>
          <c:tx>
            <c:strRef>
              <c:f>Лист1!$A$57:$C$57</c:f>
              <c:strCache>
                <c:ptCount val="1"/>
                <c:pt idx="0">
                  <c:v>Удельные теплопотери q Вт/м</c:v>
                </c:pt>
              </c:strCache>
            </c:strRef>
          </c:tx>
          <c:spPr>
            <a:ln w="26891">
              <a:noFill/>
            </a:ln>
          </c:spPr>
          <c:marker>
            <c:symbol val="none"/>
          </c:marker>
          <c:trendline>
            <c:spPr>
              <a:ln w="23903">
                <a:solidFill>
                  <a:srgbClr val="000000"/>
                </a:solidFill>
                <a:prstDash val="solid"/>
              </a:ln>
            </c:spPr>
            <c:trendlineType val="power"/>
          </c:trendline>
          <c:xVal>
            <c:numRef>
              <c:f>Лист1!$D$56:$Z$56</c:f>
              <c:numCache>
                <c:formatCode>General</c:formatCode>
                <c:ptCount val="23"/>
                <c:pt idx="0">
                  <c:v>17</c:v>
                </c:pt>
                <c:pt idx="1">
                  <c:v>21</c:v>
                </c:pt>
                <c:pt idx="2">
                  <c:v>27</c:v>
                </c:pt>
                <c:pt idx="3">
                  <c:v>34</c:v>
                </c:pt>
                <c:pt idx="4">
                  <c:v>42</c:v>
                </c:pt>
                <c:pt idx="5">
                  <c:v>48</c:v>
                </c:pt>
                <c:pt idx="6">
                  <c:v>60</c:v>
                </c:pt>
                <c:pt idx="7">
                  <c:v>76</c:v>
                </c:pt>
                <c:pt idx="8">
                  <c:v>89</c:v>
                </c:pt>
                <c:pt idx="9">
                  <c:v>102</c:v>
                </c:pt>
                <c:pt idx="10">
                  <c:v>108</c:v>
                </c:pt>
                <c:pt idx="11">
                  <c:v>114</c:v>
                </c:pt>
                <c:pt idx="12">
                  <c:v>133</c:v>
                </c:pt>
                <c:pt idx="13">
                  <c:v>140</c:v>
                </c:pt>
                <c:pt idx="14">
                  <c:v>159</c:v>
                </c:pt>
                <c:pt idx="15">
                  <c:v>168</c:v>
                </c:pt>
                <c:pt idx="16">
                  <c:v>194</c:v>
                </c:pt>
                <c:pt idx="17">
                  <c:v>219</c:v>
                </c:pt>
                <c:pt idx="18">
                  <c:v>245</c:v>
                </c:pt>
                <c:pt idx="19">
                  <c:v>273</c:v>
                </c:pt>
                <c:pt idx="20">
                  <c:v>324</c:v>
                </c:pt>
                <c:pt idx="21">
                  <c:v>356</c:v>
                </c:pt>
                <c:pt idx="22">
                  <c:v>406</c:v>
                </c:pt>
              </c:numCache>
            </c:numRef>
          </c:xVal>
          <c:yVal>
            <c:numRef>
              <c:f>Лист1!$D$57:$Z$57</c:f>
              <c:numCache>
                <c:formatCode>0.00</c:formatCode>
                <c:ptCount val="23"/>
                <c:pt idx="0">
                  <c:v>0.12676391583838043</c:v>
                </c:pt>
                <c:pt idx="1">
                  <c:v>0.15085398724411664</c:v>
                </c:pt>
                <c:pt idx="2">
                  <c:v>0.18567542141414395</c:v>
                </c:pt>
                <c:pt idx="3">
                  <c:v>0.22480899953997444</c:v>
                </c:pt>
                <c:pt idx="4">
                  <c:v>0.26805723943795134</c:v>
                </c:pt>
                <c:pt idx="5">
                  <c:v>0.29967778547513618</c:v>
                </c:pt>
                <c:pt idx="6">
                  <c:v>0.36126422888304516</c:v>
                </c:pt>
                <c:pt idx="7">
                  <c:v>0.44070888598839181</c:v>
                </c:pt>
                <c:pt idx="8">
                  <c:v>0.50351582896230485</c:v>
                </c:pt>
                <c:pt idx="9">
                  <c:v>0.56506686231237868</c:v>
                </c:pt>
                <c:pt idx="10">
                  <c:v>0.59310834700743231</c:v>
                </c:pt>
                <c:pt idx="11">
                  <c:v>0.62094068130452951</c:v>
                </c:pt>
                <c:pt idx="12">
                  <c:v>0.70784296658672763</c:v>
                </c:pt>
                <c:pt idx="13">
                  <c:v>0.73943541090764042</c:v>
                </c:pt>
                <c:pt idx="14">
                  <c:v>0.82418346808443099</c:v>
                </c:pt>
                <c:pt idx="15">
                  <c:v>0.86386317607020069</c:v>
                </c:pt>
                <c:pt idx="16">
                  <c:v>0.97703098111844255</c:v>
                </c:pt>
                <c:pt idx="17">
                  <c:v>1.0840553229744165</c:v>
                </c:pt>
                <c:pt idx="18">
                  <c:v>1.1937679340537031</c:v>
                </c:pt>
                <c:pt idx="19">
                  <c:v>1.3103443860410569</c:v>
                </c:pt>
                <c:pt idx="20">
                  <c:v>1.5191188222645449</c:v>
                </c:pt>
                <c:pt idx="21">
                  <c:v>1.648104733287453</c:v>
                </c:pt>
                <c:pt idx="22">
                  <c:v>1.8470130848880741</c:v>
                </c:pt>
              </c:numCache>
            </c:numRef>
          </c:yVal>
        </c:ser>
        <c:ser>
          <c:idx val="1"/>
          <c:order val="1"/>
          <c:tx>
            <c:strRef>
              <c:f>Лист1!$A$58:$C$58</c:f>
              <c:strCache>
                <c:ptCount val="1"/>
                <c:pt idx="0">
                  <c:v>Удельные теплопотери q Вт/м</c:v>
                </c:pt>
              </c:strCache>
            </c:strRef>
          </c:tx>
          <c:spPr>
            <a:ln w="26891">
              <a:noFill/>
            </a:ln>
          </c:spPr>
          <c:marker>
            <c:symbol val="none"/>
          </c:marker>
          <c:trendline>
            <c:spPr>
              <a:ln w="23903">
                <a:solidFill>
                  <a:srgbClr val="000000"/>
                </a:solidFill>
                <a:prstDash val="solid"/>
              </a:ln>
            </c:spPr>
            <c:trendlineType val="power"/>
          </c:trendline>
          <c:xVal>
            <c:numRef>
              <c:f>Лист1!$D$56:$Z$56</c:f>
              <c:numCache>
                <c:formatCode>General</c:formatCode>
                <c:ptCount val="23"/>
                <c:pt idx="0">
                  <c:v>17</c:v>
                </c:pt>
                <c:pt idx="1">
                  <c:v>21</c:v>
                </c:pt>
                <c:pt idx="2">
                  <c:v>27</c:v>
                </c:pt>
                <c:pt idx="3">
                  <c:v>34</c:v>
                </c:pt>
                <c:pt idx="4">
                  <c:v>42</c:v>
                </c:pt>
                <c:pt idx="5">
                  <c:v>48</c:v>
                </c:pt>
                <c:pt idx="6">
                  <c:v>60</c:v>
                </c:pt>
                <c:pt idx="7">
                  <c:v>76</c:v>
                </c:pt>
                <c:pt idx="8">
                  <c:v>89</c:v>
                </c:pt>
                <c:pt idx="9">
                  <c:v>102</c:v>
                </c:pt>
                <c:pt idx="10">
                  <c:v>108</c:v>
                </c:pt>
                <c:pt idx="11">
                  <c:v>114</c:v>
                </c:pt>
                <c:pt idx="12">
                  <c:v>133</c:v>
                </c:pt>
                <c:pt idx="13">
                  <c:v>140</c:v>
                </c:pt>
                <c:pt idx="14">
                  <c:v>159</c:v>
                </c:pt>
                <c:pt idx="15">
                  <c:v>168</c:v>
                </c:pt>
                <c:pt idx="16">
                  <c:v>194</c:v>
                </c:pt>
                <c:pt idx="17">
                  <c:v>219</c:v>
                </c:pt>
                <c:pt idx="18">
                  <c:v>245</c:v>
                </c:pt>
                <c:pt idx="19">
                  <c:v>273</c:v>
                </c:pt>
                <c:pt idx="20">
                  <c:v>324</c:v>
                </c:pt>
                <c:pt idx="21">
                  <c:v>356</c:v>
                </c:pt>
                <c:pt idx="22">
                  <c:v>406</c:v>
                </c:pt>
              </c:numCache>
            </c:numRef>
          </c:xVal>
          <c:yVal>
            <c:numRef>
              <c:f>Лист1!$D$58:$Z$58</c:f>
              <c:numCache>
                <c:formatCode>0.00</c:formatCode>
                <c:ptCount val="23"/>
                <c:pt idx="0">
                  <c:v>8.9548774686910013E-2</c:v>
                </c:pt>
                <c:pt idx="1">
                  <c:v>0.1066540883529892</c:v>
                </c:pt>
                <c:pt idx="2">
                  <c:v>0.13140410378979675</c:v>
                </c:pt>
                <c:pt idx="3">
                  <c:v>0.15924830969129486</c:v>
                </c:pt>
                <c:pt idx="4">
                  <c:v>0.19005021474134023</c:v>
                </c:pt>
                <c:pt idx="5">
                  <c:v>0.21258791195284099</c:v>
                </c:pt>
                <c:pt idx="6">
                  <c:v>0.25651968334080683</c:v>
                </c:pt>
                <c:pt idx="7">
                  <c:v>0.31324957245003576</c:v>
                </c:pt>
                <c:pt idx="8">
                  <c:v>0.35813872072287911</c:v>
                </c:pt>
                <c:pt idx="9">
                  <c:v>0.40215983748857553</c:v>
                </c:pt>
                <c:pt idx="10">
                  <c:v>0.42222383917930995</c:v>
                </c:pt>
                <c:pt idx="11">
                  <c:v>0.44214328497866962</c:v>
                </c:pt>
                <c:pt idx="12">
                  <c:v>0.50436902856014609</c:v>
                </c:pt>
                <c:pt idx="13">
                  <c:v>0.5270011223653428</c:v>
                </c:pt>
                <c:pt idx="14">
                  <c:v>0.58773795477552149</c:v>
                </c:pt>
                <c:pt idx="15">
                  <c:v>0.61618726110957778</c:v>
                </c:pt>
                <c:pt idx="16">
                  <c:v>0.69736335399644889</c:v>
                </c:pt>
                <c:pt idx="17">
                  <c:v>0.77417952617282271</c:v>
                </c:pt>
                <c:pt idx="18">
                  <c:v>0.85296753541782544</c:v>
                </c:pt>
                <c:pt idx="19">
                  <c:v>0.93672717923026938</c:v>
                </c:pt>
                <c:pt idx="20">
                  <c:v>1.0868280065481331</c:v>
                </c:pt>
                <c:pt idx="21">
                  <c:v>1.1796198197751724</c:v>
                </c:pt>
                <c:pt idx="22">
                  <c:v>1.3227878082126303</c:v>
                </c:pt>
              </c:numCache>
            </c:numRef>
          </c:yVal>
        </c:ser>
        <c:axId val="175995520"/>
        <c:axId val="206287616"/>
      </c:scatterChart>
      <c:valAx>
        <c:axId val="175995520"/>
        <c:scaling>
          <c:orientation val="minMax"/>
          <c:max val="450"/>
          <c:min val="0"/>
        </c:scaling>
        <c:axPos val="b"/>
        <c:title>
          <c:tx>
            <c:rich>
              <a:bodyPr/>
              <a:lstStyle/>
              <a:p>
                <a:pPr>
                  <a:defRPr sz="1200" b="0" i="0" u="none" strike="noStrike" baseline="0">
                    <a:solidFill>
                      <a:srgbClr val="000000"/>
                    </a:solidFill>
                    <a:latin typeface="Arial Cyr"/>
                    <a:ea typeface="Arial Cyr"/>
                    <a:cs typeface="Arial Cyr"/>
                  </a:defRPr>
                </a:pPr>
                <a:r>
                  <a:t>Диаметр трубы, мм</a:t>
                </a:r>
              </a:p>
            </c:rich>
          </c:tx>
          <c:layout>
            <c:manualLayout>
              <c:xMode val="edge"/>
              <c:yMode val="edge"/>
              <c:x val="0.41509433962264175"/>
              <c:y val="0.83057851239669445"/>
            </c:manualLayout>
          </c:layout>
          <c:spPr>
            <a:noFill/>
            <a:ln w="23903">
              <a:noFill/>
            </a:ln>
          </c:spPr>
        </c:title>
        <c:numFmt formatCode="General" sourceLinked="1"/>
        <c:tickLblPos val="nextTo"/>
        <c:spPr>
          <a:ln w="2988">
            <a:solidFill>
              <a:srgbClr val="000000"/>
            </a:solidFill>
            <a:prstDash val="solid"/>
          </a:ln>
        </c:spPr>
        <c:txPr>
          <a:bodyPr rot="0" vert="horz"/>
          <a:lstStyle/>
          <a:p>
            <a:pPr>
              <a:defRPr sz="1200" b="0" i="0" u="none" strike="noStrike" baseline="0">
                <a:solidFill>
                  <a:srgbClr val="000000"/>
                </a:solidFill>
                <a:latin typeface="Arial Cyr"/>
                <a:ea typeface="Arial Cyr"/>
                <a:cs typeface="Arial Cyr"/>
              </a:defRPr>
            </a:pPr>
            <a:endParaRPr lang="ru-RU"/>
          </a:p>
        </c:txPr>
        <c:crossAx val="206287616"/>
        <c:crosses val="autoZero"/>
        <c:crossBetween val="midCat"/>
        <c:minorUnit val="50"/>
      </c:valAx>
      <c:valAx>
        <c:axId val="206287616"/>
        <c:scaling>
          <c:orientation val="minMax"/>
        </c:scaling>
        <c:axPos val="l"/>
        <c:majorGridlines>
          <c:spPr>
            <a:ln w="2988">
              <a:solidFill>
                <a:srgbClr val="000000"/>
              </a:solidFill>
              <a:prstDash val="solid"/>
            </a:ln>
          </c:spPr>
        </c:majorGridlines>
        <c:title>
          <c:tx>
            <c:rich>
              <a:bodyPr/>
              <a:lstStyle/>
              <a:p>
                <a:pPr>
                  <a:defRPr sz="1200" b="0" i="0" u="none" strike="noStrike" baseline="0">
                    <a:solidFill>
                      <a:srgbClr val="000000"/>
                    </a:solidFill>
                    <a:latin typeface="Arial Cyr"/>
                    <a:ea typeface="Arial Cyr"/>
                    <a:cs typeface="Arial Cyr"/>
                  </a:defRPr>
                </a:pPr>
                <a:r>
                  <a:t>Удельные теплопотери, кВт/м</a:t>
                </a:r>
              </a:p>
            </c:rich>
          </c:tx>
          <c:layout>
            <c:manualLayout>
              <c:xMode val="edge"/>
              <c:yMode val="edge"/>
              <c:x val="2.3060796645702299E-2"/>
              <c:y val="6.1983471074380174E-2"/>
            </c:manualLayout>
          </c:layout>
          <c:spPr>
            <a:noFill/>
            <a:ln w="23903">
              <a:noFill/>
            </a:ln>
          </c:spPr>
        </c:title>
        <c:numFmt formatCode="0.0" sourceLinked="0"/>
        <c:tickLblPos val="nextTo"/>
        <c:spPr>
          <a:ln w="2988">
            <a:solidFill>
              <a:srgbClr val="000000"/>
            </a:solidFill>
            <a:prstDash val="solid"/>
          </a:ln>
        </c:spPr>
        <c:txPr>
          <a:bodyPr rot="0" vert="horz"/>
          <a:lstStyle/>
          <a:p>
            <a:pPr>
              <a:defRPr sz="1200" b="0" i="0" u="none" strike="noStrike" baseline="0">
                <a:solidFill>
                  <a:srgbClr val="000000"/>
                </a:solidFill>
                <a:latin typeface="Arial Cyr"/>
                <a:ea typeface="Arial Cyr"/>
                <a:cs typeface="Arial Cyr"/>
              </a:defRPr>
            </a:pPr>
            <a:endParaRPr lang="ru-RU"/>
          </a:p>
        </c:txPr>
        <c:crossAx val="175995520"/>
        <c:crosses val="autoZero"/>
        <c:crossBetween val="midCat"/>
      </c:valAx>
      <c:spPr>
        <a:solidFill>
          <a:srgbClr val="FFFFFF"/>
        </a:solidFill>
        <a:ln w="11951">
          <a:solidFill>
            <a:srgbClr val="808080"/>
          </a:solidFill>
          <a:prstDash val="solid"/>
        </a:ln>
      </c:spPr>
    </c:plotArea>
    <c:plotVisOnly val="1"/>
    <c:dispBlanksAs val="gap"/>
  </c:chart>
  <c:spPr>
    <a:noFill/>
    <a:ln w="2988">
      <a:solidFill>
        <a:srgbClr val="000000"/>
      </a:solidFill>
      <a:prstDash val="solid"/>
    </a:ln>
  </c:spPr>
  <c:txPr>
    <a:bodyPr/>
    <a:lstStyle/>
    <a:p>
      <a:pPr>
        <a:defRPr sz="1200" b="0" i="0" u="none" strike="noStrike" baseline="0">
          <a:solidFill>
            <a:srgbClr val="000000"/>
          </a:solidFill>
          <a:latin typeface="Arial Cyr"/>
          <a:ea typeface="Arial Cyr"/>
          <a:cs typeface="Arial Cyr"/>
        </a:defRPr>
      </a:pPr>
      <a:endParaRPr lang="ru-RU"/>
    </a:p>
  </c:txPr>
  <c:externalData r:id="rId1"/>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17669902912621366"/>
          <c:y val="9.3425605536332251E-2"/>
          <c:w val="0.77669902912621391"/>
          <c:h val="0.58477508650519072"/>
        </c:manualLayout>
      </c:layout>
      <c:scatterChart>
        <c:scatterStyle val="lineMarker"/>
        <c:ser>
          <c:idx val="0"/>
          <c:order val="0"/>
          <c:spPr>
            <a:ln w="28507">
              <a:noFill/>
            </a:ln>
          </c:spPr>
          <c:marker>
            <c:symbol val="none"/>
          </c:marker>
          <c:trendline>
            <c:spPr>
              <a:ln w="25340">
                <a:solidFill>
                  <a:srgbClr val="000000"/>
                </a:solidFill>
                <a:prstDash val="solid"/>
              </a:ln>
            </c:spPr>
            <c:trendlineType val="movingAvg"/>
            <c:period val="2"/>
          </c:trendline>
          <c:xVal>
            <c:numRef>
              <c:f>Лист2!$L$29:$U$29</c:f>
              <c:numCache>
                <c:formatCode>General</c:formatCode>
                <c:ptCount val="10"/>
                <c:pt idx="0">
                  <c:v>3</c:v>
                </c:pt>
                <c:pt idx="1">
                  <c:v>2.5</c:v>
                </c:pt>
                <c:pt idx="2">
                  <c:v>2</c:v>
                </c:pt>
                <c:pt idx="3">
                  <c:v>1.8</c:v>
                </c:pt>
                <c:pt idx="4">
                  <c:v>1.6</c:v>
                </c:pt>
                <c:pt idx="5">
                  <c:v>1.4</c:v>
                </c:pt>
                <c:pt idx="6">
                  <c:v>1.2</c:v>
                </c:pt>
                <c:pt idx="7">
                  <c:v>1.1000000000000001</c:v>
                </c:pt>
                <c:pt idx="8">
                  <c:v>1.05</c:v>
                </c:pt>
                <c:pt idx="9">
                  <c:v>1</c:v>
                </c:pt>
              </c:numCache>
            </c:numRef>
          </c:xVal>
          <c:yVal>
            <c:numRef>
              <c:f>Лист2!$L$30:$U$30</c:f>
              <c:numCache>
                <c:formatCode>General</c:formatCode>
                <c:ptCount val="10"/>
                <c:pt idx="0">
                  <c:v>307.82760326736997</c:v>
                </c:pt>
                <c:pt idx="1">
                  <c:v>307.82760326736997</c:v>
                </c:pt>
                <c:pt idx="2">
                  <c:v>307.82760326736997</c:v>
                </c:pt>
                <c:pt idx="3">
                  <c:v>296.46975744017658</c:v>
                </c:pt>
                <c:pt idx="4">
                  <c:v>267.29011928126931</c:v>
                </c:pt>
                <c:pt idx="5">
                  <c:v>228.28095319967193</c:v>
                </c:pt>
                <c:pt idx="6">
                  <c:v>169.87791504888133</c:v>
                </c:pt>
                <c:pt idx="7">
                  <c:v>123.58589225464677</c:v>
                </c:pt>
                <c:pt idx="8">
                  <c:v>88.716324448281995</c:v>
                </c:pt>
                <c:pt idx="9">
                  <c:v>0</c:v>
                </c:pt>
              </c:numCache>
            </c:numRef>
          </c:yVal>
        </c:ser>
        <c:axId val="207555584"/>
        <c:axId val="176014464"/>
      </c:scatterChart>
      <c:valAx>
        <c:axId val="207555584"/>
        <c:scaling>
          <c:orientation val="minMax"/>
          <c:max val="2.5"/>
          <c:min val="1"/>
        </c:scaling>
        <c:axPos val="b"/>
        <c:title>
          <c:tx>
            <c:rich>
              <a:bodyPr/>
              <a:lstStyle/>
              <a:p>
                <a:pPr>
                  <a:defRPr sz="1397" b="0" i="0" u="none" strike="noStrike" baseline="0">
                    <a:solidFill>
                      <a:srgbClr val="000000"/>
                    </a:solidFill>
                    <a:latin typeface="Times New Roman"/>
                    <a:ea typeface="Times New Roman"/>
                    <a:cs typeface="Times New Roman"/>
                  </a:defRPr>
                </a:pPr>
                <a:r>
                  <a:rPr lang="ru-RU"/>
                  <a:t>Абсолютное давление, атм</a:t>
                </a:r>
              </a:p>
            </c:rich>
          </c:tx>
          <c:layout>
            <c:manualLayout>
              <c:xMode val="edge"/>
              <c:yMode val="edge"/>
              <c:x val="0.34951456310679635"/>
              <c:y val="0.84083044982698951"/>
            </c:manualLayout>
          </c:layout>
          <c:spPr>
            <a:noFill/>
            <a:ln w="25340">
              <a:noFill/>
            </a:ln>
          </c:spPr>
        </c:title>
        <c:numFmt formatCode="General" sourceLinked="1"/>
        <c:tickLblPos val="nextTo"/>
        <c:spPr>
          <a:ln w="3167">
            <a:solidFill>
              <a:srgbClr val="000000"/>
            </a:solidFill>
            <a:prstDash val="solid"/>
          </a:ln>
        </c:spPr>
        <c:txPr>
          <a:bodyPr rot="0" vert="horz"/>
          <a:lstStyle/>
          <a:p>
            <a:pPr>
              <a:defRPr sz="1397" b="0" i="0" u="none" strike="noStrike" baseline="0">
                <a:solidFill>
                  <a:srgbClr val="000000"/>
                </a:solidFill>
                <a:latin typeface="Times New Roman"/>
                <a:ea typeface="Times New Roman"/>
                <a:cs typeface="Times New Roman"/>
              </a:defRPr>
            </a:pPr>
            <a:endParaRPr lang="ru-RU"/>
          </a:p>
        </c:txPr>
        <c:crossAx val="176014464"/>
        <c:crosses val="autoZero"/>
        <c:crossBetween val="midCat"/>
      </c:valAx>
      <c:valAx>
        <c:axId val="176014464"/>
        <c:scaling>
          <c:orientation val="minMax"/>
          <c:max val="350"/>
          <c:min val="100"/>
        </c:scaling>
        <c:axPos val="l"/>
        <c:majorGridlines>
          <c:spPr>
            <a:ln w="3167">
              <a:solidFill>
                <a:srgbClr val="000000"/>
              </a:solidFill>
              <a:prstDash val="solid"/>
            </a:ln>
          </c:spPr>
        </c:majorGridlines>
        <c:title>
          <c:tx>
            <c:rich>
              <a:bodyPr/>
              <a:lstStyle/>
              <a:p>
                <a:pPr>
                  <a:defRPr sz="1397" b="0" i="0" u="none" strike="noStrike" baseline="0">
                    <a:solidFill>
                      <a:srgbClr val="000000"/>
                    </a:solidFill>
                    <a:latin typeface="Times New Roman"/>
                    <a:ea typeface="Times New Roman"/>
                    <a:cs typeface="Times New Roman"/>
                  </a:defRPr>
                </a:pPr>
                <a:r>
                  <a:rPr lang="ru-RU"/>
                  <a:t>Скорость воздуха, м/с</a:t>
                </a:r>
              </a:p>
            </c:rich>
          </c:tx>
          <c:layout>
            <c:manualLayout>
              <c:xMode val="edge"/>
              <c:yMode val="edge"/>
              <c:x val="2.135922330097088E-2"/>
              <c:y val="5.8823529411764705E-2"/>
            </c:manualLayout>
          </c:layout>
          <c:spPr>
            <a:noFill/>
            <a:ln w="25340">
              <a:noFill/>
            </a:ln>
          </c:spPr>
        </c:title>
        <c:numFmt formatCode="General" sourceLinked="1"/>
        <c:tickLblPos val="nextTo"/>
        <c:spPr>
          <a:ln w="3167">
            <a:solidFill>
              <a:srgbClr val="000000"/>
            </a:solidFill>
            <a:prstDash val="solid"/>
          </a:ln>
        </c:spPr>
        <c:txPr>
          <a:bodyPr rot="0" vert="horz"/>
          <a:lstStyle/>
          <a:p>
            <a:pPr>
              <a:defRPr sz="1397" b="0" i="0" u="none" strike="noStrike" baseline="0">
                <a:solidFill>
                  <a:srgbClr val="000000"/>
                </a:solidFill>
                <a:latin typeface="Times New Roman"/>
                <a:ea typeface="Times New Roman"/>
                <a:cs typeface="Times New Roman"/>
              </a:defRPr>
            </a:pPr>
            <a:endParaRPr lang="ru-RU"/>
          </a:p>
        </c:txPr>
        <c:crossAx val="207555584"/>
        <c:crosses val="autoZero"/>
        <c:crossBetween val="midCat"/>
        <c:majorUnit val="50"/>
      </c:valAx>
      <c:spPr>
        <a:solidFill>
          <a:srgbClr val="FFFFFF"/>
        </a:solidFill>
        <a:ln w="12670">
          <a:solidFill>
            <a:srgbClr val="808080"/>
          </a:solidFill>
          <a:prstDash val="solid"/>
        </a:ln>
      </c:spPr>
    </c:plotArea>
    <c:plotVisOnly val="1"/>
    <c:dispBlanksAs val="gap"/>
  </c:chart>
  <c:spPr>
    <a:solidFill>
      <a:srgbClr val="FFFFFF"/>
    </a:solidFill>
    <a:ln w="3167">
      <a:solidFill>
        <a:srgbClr val="000000"/>
      </a:solidFill>
      <a:prstDash val="solid"/>
    </a:ln>
  </c:spPr>
  <c:txPr>
    <a:bodyPr/>
    <a:lstStyle/>
    <a:p>
      <a:pPr>
        <a:defRPr sz="1397" b="0" i="0" u="none" strike="noStrike" baseline="0">
          <a:solidFill>
            <a:srgbClr val="000000"/>
          </a:solidFill>
          <a:latin typeface="Times New Roman"/>
          <a:ea typeface="Times New Roman"/>
          <a:cs typeface="Times New Roman"/>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0.21645796064400721"/>
          <c:y val="9.5238095238095247E-2"/>
          <c:w val="0.75134168157423975"/>
          <c:h val="0.58163265306122447"/>
        </c:manualLayout>
      </c:layout>
      <c:scatterChart>
        <c:scatterStyle val="lineMarker"/>
        <c:ser>
          <c:idx val="0"/>
          <c:order val="0"/>
          <c:spPr>
            <a:ln w="28509">
              <a:noFill/>
            </a:ln>
          </c:spPr>
          <c:marker>
            <c:symbol val="none"/>
          </c:marker>
          <c:trendline>
            <c:spPr>
              <a:ln w="25341">
                <a:solidFill>
                  <a:srgbClr val="000000"/>
                </a:solidFill>
                <a:prstDash val="solid"/>
              </a:ln>
            </c:spPr>
            <c:trendlineType val="log"/>
          </c:trendline>
          <c:xVal>
            <c:numRef>
              <c:f>Лист2!$C$22:$U$22</c:f>
              <c:numCache>
                <c:formatCode>General</c:formatCode>
                <c:ptCount val="19"/>
                <c:pt idx="0">
                  <c:v>7</c:v>
                </c:pt>
                <c:pt idx="1">
                  <c:v>6.5</c:v>
                </c:pt>
                <c:pt idx="2">
                  <c:v>6</c:v>
                </c:pt>
                <c:pt idx="3">
                  <c:v>5.5</c:v>
                </c:pt>
                <c:pt idx="4">
                  <c:v>5</c:v>
                </c:pt>
                <c:pt idx="5">
                  <c:v>5</c:v>
                </c:pt>
                <c:pt idx="6">
                  <c:v>4.5</c:v>
                </c:pt>
                <c:pt idx="7">
                  <c:v>4</c:v>
                </c:pt>
                <c:pt idx="8">
                  <c:v>3.5</c:v>
                </c:pt>
                <c:pt idx="9">
                  <c:v>3</c:v>
                </c:pt>
                <c:pt idx="10">
                  <c:v>2.5</c:v>
                </c:pt>
                <c:pt idx="11">
                  <c:v>2</c:v>
                </c:pt>
                <c:pt idx="12">
                  <c:v>1.8</c:v>
                </c:pt>
                <c:pt idx="13">
                  <c:v>1.6</c:v>
                </c:pt>
                <c:pt idx="14">
                  <c:v>1.4</c:v>
                </c:pt>
                <c:pt idx="15">
                  <c:v>1.2</c:v>
                </c:pt>
                <c:pt idx="16">
                  <c:v>1.1000000000000001</c:v>
                </c:pt>
                <c:pt idx="17">
                  <c:v>1.05</c:v>
                </c:pt>
                <c:pt idx="18">
                  <c:v>1</c:v>
                </c:pt>
              </c:numCache>
            </c:numRef>
          </c:xVal>
          <c:yVal>
            <c:numRef>
              <c:f>Лист2!$C$23:$U$23</c:f>
              <c:numCache>
                <c:formatCode>General</c:formatCode>
                <c:ptCount val="19"/>
                <c:pt idx="0">
                  <c:v>475.77178018455402</c:v>
                </c:pt>
                <c:pt idx="1">
                  <c:v>441.78808159994315</c:v>
                </c:pt>
                <c:pt idx="2">
                  <c:v>407.80438301533218</c:v>
                </c:pt>
                <c:pt idx="3">
                  <c:v>373.82068443072131</c:v>
                </c:pt>
                <c:pt idx="4">
                  <c:v>339.83698584610994</c:v>
                </c:pt>
                <c:pt idx="5">
                  <c:v>339.83698584610994</c:v>
                </c:pt>
                <c:pt idx="6">
                  <c:v>305.85328726149896</c:v>
                </c:pt>
                <c:pt idx="7">
                  <c:v>271.86958867688816</c:v>
                </c:pt>
                <c:pt idx="8">
                  <c:v>237.88589009227701</c:v>
                </c:pt>
                <c:pt idx="9">
                  <c:v>203.90219150766609</c:v>
                </c:pt>
                <c:pt idx="10">
                  <c:v>169.91849292305503</c:v>
                </c:pt>
                <c:pt idx="11">
                  <c:v>135.93479433844402</c:v>
                </c:pt>
                <c:pt idx="12">
                  <c:v>122.14103406820315</c:v>
                </c:pt>
                <c:pt idx="13">
                  <c:v>106.47535404481286</c:v>
                </c:pt>
                <c:pt idx="14">
                  <c:v>87.531977011178412</c:v>
                </c:pt>
                <c:pt idx="15">
                  <c:v>62.331320600610454</c:v>
                </c:pt>
                <c:pt idx="16">
                  <c:v>44.232508726683754</c:v>
                </c:pt>
                <c:pt idx="17">
                  <c:v>31.333132769116997</c:v>
                </c:pt>
                <c:pt idx="18">
                  <c:v>0</c:v>
                </c:pt>
              </c:numCache>
            </c:numRef>
          </c:yVal>
        </c:ser>
        <c:axId val="172319872"/>
        <c:axId val="172321792"/>
      </c:scatterChart>
      <c:valAx>
        <c:axId val="172319872"/>
        <c:scaling>
          <c:orientation val="minMax"/>
          <c:max val="7"/>
          <c:min val="1"/>
        </c:scaling>
        <c:axPos val="b"/>
        <c:title>
          <c:tx>
            <c:rich>
              <a:bodyPr/>
              <a:lstStyle/>
              <a:p>
                <a:pPr>
                  <a:defRPr sz="1497" b="0" i="0" u="none" strike="noStrike" baseline="0">
                    <a:solidFill>
                      <a:srgbClr val="000000"/>
                    </a:solidFill>
                    <a:latin typeface="Times New Roman"/>
                    <a:ea typeface="Times New Roman"/>
                    <a:cs typeface="Times New Roman"/>
                  </a:defRPr>
                </a:pPr>
                <a:r>
                  <a:rPr lang="ru-RU"/>
                  <a:t>Абсолютное давление в трубопроводе, атм</a:t>
                </a:r>
              </a:p>
            </c:rich>
          </c:tx>
          <c:layout>
            <c:manualLayout>
              <c:xMode val="edge"/>
              <c:yMode val="edge"/>
              <c:x val="0.25939177101967814"/>
              <c:y val="0.84013605442176853"/>
            </c:manualLayout>
          </c:layout>
          <c:spPr>
            <a:noFill/>
            <a:ln w="25341">
              <a:noFill/>
            </a:ln>
          </c:spPr>
        </c:title>
        <c:numFmt formatCode="General" sourceLinked="1"/>
        <c:tickLblPos val="nextTo"/>
        <c:spPr>
          <a:ln w="3168">
            <a:solidFill>
              <a:srgbClr val="000000"/>
            </a:solidFill>
            <a:prstDash val="solid"/>
          </a:ln>
        </c:spPr>
        <c:txPr>
          <a:bodyPr rot="0" vert="horz"/>
          <a:lstStyle/>
          <a:p>
            <a:pPr>
              <a:defRPr sz="1497" b="0" i="0" u="none" strike="noStrike" baseline="0">
                <a:solidFill>
                  <a:srgbClr val="000000"/>
                </a:solidFill>
                <a:latin typeface="Times New Roman"/>
                <a:ea typeface="Times New Roman"/>
                <a:cs typeface="Times New Roman"/>
              </a:defRPr>
            </a:pPr>
            <a:endParaRPr lang="ru-RU"/>
          </a:p>
        </c:txPr>
        <c:crossAx val="172321792"/>
        <c:crosses val="autoZero"/>
        <c:crossBetween val="midCat"/>
      </c:valAx>
      <c:valAx>
        <c:axId val="172321792"/>
        <c:scaling>
          <c:orientation val="minMax"/>
        </c:scaling>
        <c:axPos val="l"/>
        <c:majorGridlines>
          <c:spPr>
            <a:ln w="3168">
              <a:solidFill>
                <a:srgbClr val="000000"/>
              </a:solidFill>
              <a:prstDash val="solid"/>
            </a:ln>
          </c:spPr>
        </c:majorGridlines>
        <c:title>
          <c:tx>
            <c:rich>
              <a:bodyPr/>
              <a:lstStyle/>
              <a:p>
                <a:pPr>
                  <a:defRPr sz="1497" b="0" i="0" u="none" strike="noStrike" baseline="0">
                    <a:solidFill>
                      <a:srgbClr val="000000"/>
                    </a:solidFill>
                    <a:latin typeface="Times New Roman"/>
                    <a:ea typeface="Times New Roman"/>
                    <a:cs typeface="Times New Roman"/>
                  </a:defRPr>
                </a:pPr>
                <a:r>
                  <a:rPr lang="ru-RU"/>
                  <a:t>Массовый расход воздуха, кг/ч</a:t>
                </a:r>
              </a:p>
            </c:rich>
          </c:tx>
          <c:layout>
            <c:manualLayout>
              <c:xMode val="edge"/>
              <c:yMode val="edge"/>
              <c:x val="1.9677996422182469E-2"/>
              <c:y val="0"/>
            </c:manualLayout>
          </c:layout>
          <c:spPr>
            <a:noFill/>
            <a:ln w="25341">
              <a:noFill/>
            </a:ln>
          </c:spPr>
        </c:title>
        <c:numFmt formatCode="General" sourceLinked="1"/>
        <c:tickLblPos val="nextTo"/>
        <c:spPr>
          <a:ln w="3168">
            <a:solidFill>
              <a:srgbClr val="000000"/>
            </a:solidFill>
            <a:prstDash val="solid"/>
          </a:ln>
        </c:spPr>
        <c:txPr>
          <a:bodyPr rot="0" vert="horz"/>
          <a:lstStyle/>
          <a:p>
            <a:pPr>
              <a:defRPr sz="1497" b="0" i="0" u="none" strike="noStrike" baseline="0">
                <a:solidFill>
                  <a:srgbClr val="000000"/>
                </a:solidFill>
                <a:latin typeface="Times New Roman"/>
                <a:ea typeface="Times New Roman"/>
                <a:cs typeface="Times New Roman"/>
              </a:defRPr>
            </a:pPr>
            <a:endParaRPr lang="ru-RU"/>
          </a:p>
        </c:txPr>
        <c:crossAx val="172319872"/>
        <c:crosses val="autoZero"/>
        <c:crossBetween val="midCat"/>
      </c:valAx>
      <c:spPr>
        <a:solidFill>
          <a:srgbClr val="FFFFFF"/>
        </a:solidFill>
        <a:ln w="12671">
          <a:solidFill>
            <a:srgbClr val="808080"/>
          </a:solidFill>
          <a:prstDash val="solid"/>
        </a:ln>
      </c:spPr>
    </c:plotArea>
    <c:plotVisOnly val="1"/>
    <c:dispBlanksAs val="gap"/>
  </c:chart>
  <c:spPr>
    <a:solidFill>
      <a:srgbClr val="FFFFFF"/>
    </a:solidFill>
    <a:ln w="3168">
      <a:solidFill>
        <a:srgbClr val="000000"/>
      </a:solidFill>
      <a:prstDash val="solid"/>
    </a:ln>
  </c:spPr>
  <c:txPr>
    <a:bodyPr/>
    <a:lstStyle/>
    <a:p>
      <a:pPr>
        <a:defRPr sz="1497" b="0" i="0" u="none" strike="noStrike" baseline="0">
          <a:solidFill>
            <a:srgbClr val="000000"/>
          </a:solidFill>
          <a:latin typeface="Times New Roman"/>
          <a:ea typeface="Times New Roman"/>
          <a:cs typeface="Times New Roman"/>
        </a:defRPr>
      </a:pPr>
      <a:endParaRPr lang="ru-RU"/>
    </a:p>
  </c:txPr>
  <c:externalData r:id="rId1"/>
</c:chartSpace>
</file>

<file path=word/drawings/drawing1.xml><?xml version="1.0" encoding="utf-8"?>
<c:userShapes xmlns:c="http://schemas.openxmlformats.org/drawingml/2006/chart">
  <cdr:relSizeAnchor xmlns:cdr="http://schemas.openxmlformats.org/drawingml/2006/chartDrawing">
    <cdr:from>
      <cdr:x>0.30175</cdr:x>
      <cdr:y>0.108</cdr:y>
    </cdr:from>
    <cdr:to>
      <cdr:x>0.49775</cdr:x>
      <cdr:y>0.29</cdr:y>
    </cdr:to>
    <cdr:sp macro="" textlink="">
      <cdr:nvSpPr>
        <cdr:cNvPr id="12289" name="Text Box 1"/>
        <cdr:cNvSpPr txBox="1">
          <a:spLocks xmlns:a="http://schemas.openxmlformats.org/drawingml/2006/main" noChangeArrowheads="1"/>
        </cdr:cNvSpPr>
      </cdr:nvSpPr>
      <cdr:spPr bwMode="auto">
        <a:xfrm xmlns:a="http://schemas.openxmlformats.org/drawingml/2006/main">
          <a:off x="1368104" y="263347"/>
          <a:ext cx="888645" cy="44378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1">
            <a:defRPr sz="1000"/>
          </a:pPr>
          <a:r>
            <a:rPr lang="ru-RU" sz="1025" b="1" i="0" strike="noStrike">
              <a:solidFill>
                <a:srgbClr val="000000"/>
              </a:solidFill>
              <a:latin typeface="Arial Cyr"/>
            </a:rPr>
            <a:t>Затраты на монтаж</a:t>
          </a:r>
        </a:p>
      </cdr:txBody>
    </cdr:sp>
  </cdr:relSizeAnchor>
  <cdr:relSizeAnchor xmlns:cdr="http://schemas.openxmlformats.org/drawingml/2006/chartDrawing">
    <cdr:from>
      <cdr:x>0.22425</cdr:x>
      <cdr:y>0.42575</cdr:y>
    </cdr:from>
    <cdr:to>
      <cdr:x>0.43</cdr:x>
      <cdr:y>0.62325</cdr:y>
    </cdr:to>
    <cdr:sp macro="" textlink="">
      <cdr:nvSpPr>
        <cdr:cNvPr id="12290" name="Text Box 2"/>
        <cdr:cNvSpPr txBox="1">
          <a:spLocks xmlns:a="http://schemas.openxmlformats.org/drawingml/2006/main" noChangeArrowheads="1"/>
        </cdr:cNvSpPr>
      </cdr:nvSpPr>
      <cdr:spPr bwMode="auto">
        <a:xfrm xmlns:a="http://schemas.openxmlformats.org/drawingml/2006/main">
          <a:off x="1016727" y="1038149"/>
          <a:ext cx="932850" cy="481584"/>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1">
            <a:defRPr sz="1000"/>
          </a:pPr>
          <a:r>
            <a:rPr lang="ru-RU" sz="1025" b="1" i="0" strike="noStrike">
              <a:solidFill>
                <a:srgbClr val="000000"/>
              </a:solidFill>
              <a:latin typeface="Arial Cyr"/>
            </a:rPr>
            <a:t>Экономия топлива</a:t>
          </a:r>
        </a:p>
      </cdr:txBody>
    </cdr:sp>
  </cdr:relSizeAnchor>
</c:userShapes>
</file>

<file path=word/drawings/drawing2.xml><?xml version="1.0" encoding="utf-8"?>
<c:userShapes xmlns:c="http://schemas.openxmlformats.org/drawingml/2006/chart">
  <cdr:relSizeAnchor xmlns:cdr="http://schemas.openxmlformats.org/drawingml/2006/chartDrawing">
    <cdr:from>
      <cdr:x>0.39675</cdr:x>
      <cdr:y>0.18725</cdr:y>
    </cdr:from>
    <cdr:to>
      <cdr:x>0.486</cdr:x>
      <cdr:y>0.28825</cdr:y>
    </cdr:to>
    <cdr:sp macro="" textlink="">
      <cdr:nvSpPr>
        <cdr:cNvPr id="8193" name="Text Box 1"/>
        <cdr:cNvSpPr txBox="1">
          <a:spLocks xmlns:a="http://schemas.openxmlformats.org/drawingml/2006/main" noChangeArrowheads="1"/>
        </cdr:cNvSpPr>
      </cdr:nvSpPr>
      <cdr:spPr bwMode="auto">
        <a:xfrm xmlns:a="http://schemas.openxmlformats.org/drawingml/2006/main">
          <a:off x="1753476" y="456590"/>
          <a:ext cx="394450" cy="246279"/>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36576" tIns="27432" rIns="0" bIns="0" anchor="t" upright="1"/>
        <a:lstStyle xmlns:a="http://schemas.openxmlformats.org/drawingml/2006/main"/>
        <a:p xmlns:a="http://schemas.openxmlformats.org/drawingml/2006/main">
          <a:pPr algn="l" rtl="0">
            <a:defRPr sz="1000"/>
          </a:pPr>
          <a:r>
            <a:rPr lang="ru-RU" sz="1325" b="0" i="0" u="none" strike="noStrike" baseline="0">
              <a:solidFill>
                <a:srgbClr val="000000"/>
              </a:solidFill>
              <a:latin typeface="Times New Roman"/>
              <a:cs typeface="Times New Roman"/>
            </a:rPr>
            <a:t>1</a:t>
          </a:r>
        </a:p>
      </cdr:txBody>
    </cdr:sp>
  </cdr:relSizeAnchor>
  <cdr:relSizeAnchor xmlns:cdr="http://schemas.openxmlformats.org/drawingml/2006/chartDrawing">
    <cdr:from>
      <cdr:x>0.536</cdr:x>
      <cdr:y>0.47375</cdr:y>
    </cdr:from>
    <cdr:to>
      <cdr:x>0.602</cdr:x>
      <cdr:y>0.564</cdr:y>
    </cdr:to>
    <cdr:sp macro="" textlink="">
      <cdr:nvSpPr>
        <cdr:cNvPr id="8194" name="Text Box 2"/>
        <cdr:cNvSpPr txBox="1">
          <a:spLocks xmlns:a="http://schemas.openxmlformats.org/drawingml/2006/main" noChangeArrowheads="1"/>
        </cdr:cNvSpPr>
      </cdr:nvSpPr>
      <cdr:spPr bwMode="auto">
        <a:xfrm xmlns:a="http://schemas.openxmlformats.org/drawingml/2006/main">
          <a:off x="2371115" y="1147877"/>
          <a:ext cx="291694" cy="217017"/>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36576" tIns="27432" rIns="0" bIns="0" anchor="t" upright="1"/>
        <a:lstStyle xmlns:a="http://schemas.openxmlformats.org/drawingml/2006/main"/>
        <a:p xmlns:a="http://schemas.openxmlformats.org/drawingml/2006/main">
          <a:pPr algn="l" rtl="0">
            <a:defRPr sz="1000"/>
          </a:pPr>
          <a:r>
            <a:rPr lang="ru-RU" sz="1325" b="0" i="0" u="none" strike="noStrike" baseline="0">
              <a:solidFill>
                <a:srgbClr val="000000"/>
              </a:solidFill>
              <a:latin typeface="Times New Roman"/>
              <a:cs typeface="Times New Roman"/>
            </a:rPr>
            <a:t>2</a:t>
          </a:r>
        </a:p>
      </cdr:txBody>
    </cdr:sp>
  </cdr:relSizeAnchor>
  <cdr:relSizeAnchor xmlns:cdr="http://schemas.openxmlformats.org/drawingml/2006/chartDrawing">
    <cdr:from>
      <cdr:x>0.29325</cdr:x>
      <cdr:y>0.564</cdr:y>
    </cdr:from>
    <cdr:to>
      <cdr:x>0.354</cdr:x>
      <cdr:y>0.67</cdr:y>
    </cdr:to>
    <cdr:sp macro="" textlink="">
      <cdr:nvSpPr>
        <cdr:cNvPr id="8195" name="Text Box 3"/>
        <cdr:cNvSpPr txBox="1">
          <a:spLocks xmlns:a="http://schemas.openxmlformats.org/drawingml/2006/main" noChangeArrowheads="1"/>
        </cdr:cNvSpPr>
      </cdr:nvSpPr>
      <cdr:spPr bwMode="auto">
        <a:xfrm xmlns:a="http://schemas.openxmlformats.org/drawingml/2006/main">
          <a:off x="1301572" y="1364894"/>
          <a:ext cx="267386" cy="255423"/>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36576" tIns="27432" rIns="0" bIns="0" anchor="t" upright="1"/>
        <a:lstStyle xmlns:a="http://schemas.openxmlformats.org/drawingml/2006/main"/>
        <a:p xmlns:a="http://schemas.openxmlformats.org/drawingml/2006/main">
          <a:pPr algn="l" rtl="0">
            <a:defRPr sz="1000"/>
          </a:pPr>
          <a:r>
            <a:rPr lang="ru-RU" sz="1325" b="0" i="0" u="none" strike="noStrike" baseline="0">
              <a:solidFill>
                <a:srgbClr val="000000"/>
              </a:solidFill>
              <a:latin typeface="Times New Roman"/>
              <a:cs typeface="Times New Roman"/>
            </a:rPr>
            <a:t>3</a:t>
          </a:r>
        </a:p>
      </cdr:txBody>
    </cdr:sp>
  </cdr:relSizeAnchor>
</c:userShapes>
</file>

<file path=word/drawings/drawing3.xml><?xml version="1.0" encoding="utf-8"?>
<c:userShapes xmlns:c="http://schemas.openxmlformats.org/drawingml/2006/chart">
  <cdr:relSizeAnchor xmlns:cdr="http://schemas.openxmlformats.org/drawingml/2006/chartDrawing">
    <cdr:from>
      <cdr:x>0.4925</cdr:x>
      <cdr:y>0.2725</cdr:y>
    </cdr:from>
    <cdr:to>
      <cdr:x>0.579</cdr:x>
      <cdr:y>0.4225</cdr:y>
    </cdr:to>
    <cdr:sp macro="" textlink="">
      <cdr:nvSpPr>
        <cdr:cNvPr id="3073" name="Text Box 1"/>
        <cdr:cNvSpPr txBox="1">
          <a:spLocks xmlns:a="http://schemas.openxmlformats.org/drawingml/2006/main" noChangeArrowheads="1"/>
        </cdr:cNvSpPr>
      </cdr:nvSpPr>
      <cdr:spPr bwMode="auto">
        <a:xfrm xmlns:a="http://schemas.openxmlformats.org/drawingml/2006/main">
          <a:off x="2237637" y="628126"/>
          <a:ext cx="393006" cy="345758"/>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vertOverflow="clip" wrap="square" lIns="36576" tIns="27432" rIns="0" bIns="0" anchor="t" upright="1"/>
        <a:lstStyle xmlns:a="http://schemas.openxmlformats.org/drawingml/2006/main"/>
        <a:p xmlns:a="http://schemas.openxmlformats.org/drawingml/2006/main">
          <a:pPr algn="l" rtl="1">
            <a:defRPr sz="1000"/>
          </a:pPr>
          <a:r>
            <a:rPr lang="ru-RU" sz="1275" b="0" i="0" strike="noStrike">
              <a:solidFill>
                <a:srgbClr val="000000"/>
              </a:solidFill>
              <a:latin typeface="Arial Cyr"/>
            </a:rPr>
            <a:t>1</a:t>
          </a:r>
        </a:p>
      </cdr:txBody>
    </cdr:sp>
  </cdr:relSizeAnchor>
  <cdr:relSizeAnchor xmlns:cdr="http://schemas.openxmlformats.org/drawingml/2006/chartDrawing">
    <cdr:from>
      <cdr:x>0.68575</cdr:x>
      <cdr:y>0.39725</cdr:y>
    </cdr:from>
    <cdr:to>
      <cdr:x>0.72975</cdr:x>
      <cdr:y>0.513</cdr:y>
    </cdr:to>
    <cdr:sp macro="" textlink="">
      <cdr:nvSpPr>
        <cdr:cNvPr id="3074" name="Text Box 2"/>
        <cdr:cNvSpPr txBox="1">
          <a:spLocks xmlns:a="http://schemas.openxmlformats.org/drawingml/2006/main" noChangeArrowheads="1"/>
        </cdr:cNvSpPr>
      </cdr:nvSpPr>
      <cdr:spPr bwMode="auto">
        <a:xfrm xmlns:a="http://schemas.openxmlformats.org/drawingml/2006/main">
          <a:off x="3115654" y="915681"/>
          <a:ext cx="199910" cy="26681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none" lIns="27432" tIns="27432" rIns="0" bIns="0" anchor="t" upright="1">
          <a:spAutoFit/>
        </a:bodyPr>
        <a:lstStyle xmlns:a="http://schemas.openxmlformats.org/drawingml/2006/main"/>
        <a:p xmlns:a="http://schemas.openxmlformats.org/drawingml/2006/main">
          <a:pPr algn="l" rtl="1">
            <a:defRPr sz="1000"/>
          </a:pPr>
          <a:r>
            <a:rPr lang="ru-RU" sz="1275" b="0" i="0" strike="noStrike">
              <a:solidFill>
                <a:srgbClr val="000000"/>
              </a:solidFill>
              <a:latin typeface="Arial Cyr"/>
            </a:rPr>
            <a:t>2</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6478</Words>
  <Characters>36930</Characters>
  <Application>Microsoft Office Word</Application>
  <DocSecurity>0</DocSecurity>
  <Lines>307</Lines>
  <Paragraphs>86</Paragraphs>
  <ScaleCrop>false</ScaleCrop>
  <Company/>
  <LinksUpToDate>false</LinksUpToDate>
  <CharactersWithSpaces>43322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2021-01-23T14:39:00Z</dcterms:created>
  <dcterms:modified xsi:type="dcterms:W3CDTF">2021-01-23T14:39:00Z</dcterms:modified>
</cp:coreProperties>
</file>